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A361F" w:rsidRDefault="008A361F"/>
    <w:p w:rsidR="00FA1F89" w:rsidRDefault="00FA1F89"/>
    <w:p w:rsidR="00FA1F89" w:rsidRDefault="00FA1F89"/>
    <w:tbl>
      <w:tblPr>
        <w:tblStyle w:val="a3"/>
        <w:tblW w:w="0" w:type="auto"/>
        <w:tblLook w:val="04A0"/>
      </w:tblPr>
      <w:tblGrid>
        <w:gridCol w:w="558"/>
        <w:gridCol w:w="3518"/>
        <w:gridCol w:w="1390"/>
        <w:gridCol w:w="1510"/>
        <w:gridCol w:w="1546"/>
      </w:tblGrid>
      <w:tr w:rsidR="00FA1F89" w:rsidRPr="00CA5642" w:rsidTr="00F41318">
        <w:trPr>
          <w:trHeight w:val="675"/>
        </w:trPr>
        <w:tc>
          <w:tcPr>
            <w:tcW w:w="578" w:type="dxa"/>
            <w:vAlign w:val="center"/>
          </w:tcPr>
          <w:p w:rsidR="00FA1F89" w:rsidRPr="00CA5642" w:rsidRDefault="00FA1F89" w:rsidP="00F41318">
            <w:pPr>
              <w:pStyle w:val="normalwithoutspacing"/>
              <w:spacing w:before="57" w:after="57"/>
              <w:jc w:val="center"/>
              <w:rPr>
                <w:rFonts w:asciiTheme="minorHAnsi" w:hAnsiTheme="minorHAnsi" w:cstheme="minorHAnsi"/>
                <w:b/>
                <w:sz w:val="18"/>
                <w:szCs w:val="18"/>
              </w:rPr>
            </w:pPr>
            <w:r w:rsidRPr="00CA5642">
              <w:rPr>
                <w:rFonts w:asciiTheme="minorHAnsi" w:hAnsiTheme="minorHAnsi" w:cstheme="minorHAnsi"/>
                <w:b/>
                <w:sz w:val="18"/>
                <w:szCs w:val="18"/>
              </w:rPr>
              <w:t>Α/Α</w:t>
            </w:r>
          </w:p>
        </w:tc>
        <w:tc>
          <w:tcPr>
            <w:tcW w:w="4360" w:type="dxa"/>
          </w:tcPr>
          <w:p w:rsidR="00FA1F89" w:rsidRPr="00CA5642" w:rsidRDefault="00FA1F89" w:rsidP="00F41318">
            <w:pPr>
              <w:pStyle w:val="normalwithoutspacing"/>
              <w:spacing w:before="57" w:after="57"/>
              <w:jc w:val="center"/>
              <w:rPr>
                <w:rFonts w:asciiTheme="minorHAnsi" w:hAnsiTheme="minorHAnsi" w:cstheme="minorHAnsi"/>
                <w:b/>
                <w:sz w:val="18"/>
                <w:szCs w:val="18"/>
              </w:rPr>
            </w:pPr>
            <w:r w:rsidRPr="00CA5642">
              <w:rPr>
                <w:rFonts w:asciiTheme="minorHAnsi" w:hAnsiTheme="minorHAnsi" w:cstheme="minorHAnsi"/>
                <w:b/>
                <w:sz w:val="18"/>
                <w:szCs w:val="18"/>
              </w:rPr>
              <w:t>ENOTHTA - ΧΑΡΑΚΤΗΡΙΣΤΙΚΑ</w:t>
            </w:r>
          </w:p>
        </w:tc>
        <w:tc>
          <w:tcPr>
            <w:tcW w:w="1555" w:type="dxa"/>
            <w:vAlign w:val="center"/>
          </w:tcPr>
          <w:p w:rsidR="00FA1F89" w:rsidRPr="00CA5642" w:rsidRDefault="00FA1F89" w:rsidP="00F41318">
            <w:pPr>
              <w:pStyle w:val="normalwithoutspacing"/>
              <w:spacing w:before="57" w:after="57"/>
              <w:jc w:val="center"/>
              <w:rPr>
                <w:rFonts w:asciiTheme="minorHAnsi" w:hAnsiTheme="minorHAnsi" w:cstheme="minorHAnsi"/>
                <w:b/>
                <w:sz w:val="18"/>
                <w:szCs w:val="18"/>
              </w:rPr>
            </w:pPr>
            <w:r w:rsidRPr="00CA5642">
              <w:rPr>
                <w:rFonts w:asciiTheme="minorHAnsi" w:hAnsiTheme="minorHAnsi" w:cstheme="minorHAnsi"/>
                <w:b/>
                <w:sz w:val="18"/>
                <w:szCs w:val="18"/>
              </w:rPr>
              <w:t>ΑΠΑΙΤΗΣΗ</w:t>
            </w:r>
          </w:p>
        </w:tc>
        <w:tc>
          <w:tcPr>
            <w:tcW w:w="1696" w:type="dxa"/>
            <w:vAlign w:val="center"/>
          </w:tcPr>
          <w:p w:rsidR="00FA1F89" w:rsidRPr="00CA5642" w:rsidRDefault="00FA1F89" w:rsidP="00F41318">
            <w:pPr>
              <w:pStyle w:val="normalwithoutspacing"/>
              <w:spacing w:before="57" w:after="57"/>
              <w:jc w:val="center"/>
              <w:rPr>
                <w:rFonts w:asciiTheme="minorHAnsi" w:hAnsiTheme="minorHAnsi" w:cstheme="minorHAnsi"/>
                <w:b/>
                <w:sz w:val="18"/>
                <w:szCs w:val="18"/>
              </w:rPr>
            </w:pPr>
            <w:r w:rsidRPr="00CA5642">
              <w:rPr>
                <w:rFonts w:asciiTheme="minorHAnsi" w:hAnsiTheme="minorHAnsi" w:cstheme="minorHAnsi"/>
                <w:b/>
                <w:sz w:val="18"/>
                <w:szCs w:val="18"/>
              </w:rPr>
              <w:t>ΑΠΑΝΤΗΣΗ</w:t>
            </w:r>
          </w:p>
        </w:tc>
        <w:tc>
          <w:tcPr>
            <w:tcW w:w="1665" w:type="dxa"/>
            <w:vAlign w:val="center"/>
          </w:tcPr>
          <w:p w:rsidR="00FA1F89" w:rsidRPr="00CA5642" w:rsidRDefault="00FA1F89" w:rsidP="00F41318">
            <w:pPr>
              <w:pStyle w:val="normalwithoutspacing"/>
              <w:spacing w:before="57" w:after="57"/>
              <w:jc w:val="center"/>
              <w:rPr>
                <w:rFonts w:asciiTheme="minorHAnsi" w:hAnsiTheme="minorHAnsi" w:cstheme="minorHAnsi"/>
                <w:b/>
                <w:sz w:val="18"/>
                <w:szCs w:val="18"/>
              </w:rPr>
            </w:pPr>
            <w:r w:rsidRPr="00CA5642">
              <w:rPr>
                <w:rFonts w:asciiTheme="minorHAnsi" w:hAnsiTheme="minorHAnsi" w:cstheme="minorHAnsi"/>
                <w:b/>
                <w:sz w:val="18"/>
                <w:szCs w:val="18"/>
              </w:rPr>
              <w:t>ΠΑΡΑΠΟΜΠΗ</w:t>
            </w:r>
          </w:p>
        </w:tc>
      </w:tr>
      <w:tr w:rsidR="00FA1F89" w:rsidRPr="00CA5642" w:rsidTr="00F41318">
        <w:tc>
          <w:tcPr>
            <w:tcW w:w="578" w:type="dxa"/>
          </w:tcPr>
          <w:p w:rsidR="00FA1F89" w:rsidRPr="00CA5642" w:rsidRDefault="00FA1F89" w:rsidP="00F41318">
            <w:pPr>
              <w:pStyle w:val="normalwithoutspacing"/>
              <w:spacing w:before="57" w:after="57"/>
              <w:rPr>
                <w:rFonts w:asciiTheme="minorHAnsi" w:hAnsiTheme="minorHAnsi" w:cstheme="minorHAnsi"/>
                <w:sz w:val="18"/>
                <w:szCs w:val="18"/>
              </w:rPr>
            </w:pPr>
          </w:p>
        </w:tc>
        <w:tc>
          <w:tcPr>
            <w:tcW w:w="4360" w:type="dxa"/>
          </w:tcPr>
          <w:p w:rsidR="00690F5D" w:rsidRPr="00690F5D" w:rsidRDefault="00690F5D" w:rsidP="00690F5D">
            <w:pPr>
              <w:pStyle w:val="Other0"/>
              <w:spacing w:line="314" w:lineRule="auto"/>
              <w:jc w:val="left"/>
              <w:rPr>
                <w:sz w:val="18"/>
                <w:szCs w:val="18"/>
              </w:rPr>
            </w:pPr>
            <w:r w:rsidRPr="00690F5D">
              <w:rPr>
                <w:b/>
                <w:bCs/>
                <w:sz w:val="18"/>
                <w:szCs w:val="18"/>
                <w:u w:val="single"/>
              </w:rPr>
              <w:t xml:space="preserve">Πλήρες </w:t>
            </w:r>
            <w:r w:rsidRPr="00690F5D">
              <w:rPr>
                <w:b/>
                <w:bCs/>
                <w:color w:val="2D2E24"/>
                <w:sz w:val="18"/>
                <w:szCs w:val="18"/>
                <w:u w:val="single"/>
              </w:rPr>
              <w:t>σύστημα συλλογής αίματος υπό κ</w:t>
            </w:r>
            <w:r w:rsidR="00EB0727">
              <w:rPr>
                <w:b/>
                <w:bCs/>
                <w:color w:val="2D2E24"/>
                <w:sz w:val="18"/>
                <w:szCs w:val="18"/>
                <w:u w:val="single"/>
              </w:rPr>
              <w:t>ε</w:t>
            </w:r>
            <w:r w:rsidRPr="00690F5D">
              <w:rPr>
                <w:b/>
                <w:bCs/>
                <w:color w:val="2D2E24"/>
                <w:sz w:val="18"/>
                <w:szCs w:val="18"/>
                <w:u w:val="single"/>
              </w:rPr>
              <w:t>νό:</w:t>
            </w:r>
          </w:p>
          <w:p w:rsidR="00FA1F89" w:rsidRPr="00690F5D" w:rsidRDefault="00690F5D" w:rsidP="00690F5D">
            <w:pPr>
              <w:widowControl w:val="0"/>
              <w:autoSpaceDE w:val="0"/>
              <w:autoSpaceDN w:val="0"/>
              <w:adjustRightInd w:val="0"/>
              <w:rPr>
                <w:rFonts w:cs="Calibri"/>
                <w:szCs w:val="18"/>
              </w:rPr>
            </w:pPr>
            <w:r w:rsidRPr="00690F5D">
              <w:rPr>
                <w:rFonts w:eastAsia="Calibri" w:cs="Calibri"/>
                <w:szCs w:val="18"/>
              </w:rPr>
              <w:t xml:space="preserve">Τα είδη με α/α από 1 έως 15 αποτελούν «Σύστημα ασφαλούς συλλογής αίματος». Η επιλογή και κατακύρωση, σε προμηθευτή θα γίνει συνολικά για </w:t>
            </w:r>
            <w:r w:rsidRPr="00690F5D">
              <w:rPr>
                <w:rFonts w:eastAsia="Calibri" w:cs="Calibri"/>
                <w:color w:val="2D2E24"/>
                <w:szCs w:val="18"/>
              </w:rPr>
              <w:t xml:space="preserve">όλα </w:t>
            </w:r>
            <w:r w:rsidRPr="00690F5D">
              <w:rPr>
                <w:rFonts w:eastAsia="Calibri" w:cs="Calibri"/>
                <w:szCs w:val="18"/>
              </w:rPr>
              <w:t>τα είδη</w:t>
            </w:r>
            <w:r w:rsidRPr="00690F5D">
              <w:rPr>
                <w:rFonts w:eastAsia="Calibri" w:cs="Calibri"/>
                <w:szCs w:val="18"/>
              </w:rPr>
              <w:br/>
              <w:t xml:space="preserve">της ομάδας, λόγω του ότι πρέπει να αποτελούν ομοιογενές λειτουργικό σύστημα με βάση τον EFLM (EFLM </w:t>
            </w:r>
            <w:proofErr w:type="spellStart"/>
            <w:r w:rsidRPr="00690F5D">
              <w:rPr>
                <w:rFonts w:eastAsia="Calibri" w:cs="Calibri"/>
                <w:szCs w:val="18"/>
              </w:rPr>
              <w:t>Recommendation</w:t>
            </w:r>
            <w:proofErr w:type="spellEnd"/>
            <w:r w:rsidRPr="00690F5D">
              <w:rPr>
                <w:rFonts w:eastAsia="Calibri" w:cs="Calibri"/>
                <w:szCs w:val="18"/>
              </w:rPr>
              <w:t xml:space="preserve"> </w:t>
            </w:r>
            <w:proofErr w:type="spellStart"/>
            <w:r w:rsidRPr="00690F5D">
              <w:rPr>
                <w:rFonts w:eastAsia="Calibri" w:cs="Calibri"/>
                <w:szCs w:val="18"/>
              </w:rPr>
              <w:t>for</w:t>
            </w:r>
            <w:proofErr w:type="spellEnd"/>
            <w:r w:rsidRPr="00690F5D">
              <w:rPr>
                <w:rFonts w:eastAsia="Calibri" w:cs="Calibri"/>
                <w:szCs w:val="18"/>
              </w:rPr>
              <w:t xml:space="preserve"> </w:t>
            </w:r>
            <w:proofErr w:type="spellStart"/>
            <w:r w:rsidRPr="00690F5D">
              <w:rPr>
                <w:rFonts w:eastAsia="Calibri" w:cs="Calibri"/>
                <w:szCs w:val="18"/>
              </w:rPr>
              <w:t>venous</w:t>
            </w:r>
            <w:proofErr w:type="spellEnd"/>
            <w:r w:rsidRPr="00690F5D">
              <w:rPr>
                <w:rFonts w:eastAsia="Calibri" w:cs="Calibri"/>
                <w:szCs w:val="18"/>
              </w:rPr>
              <w:t xml:space="preserve"> </w:t>
            </w:r>
            <w:proofErr w:type="spellStart"/>
            <w:r w:rsidRPr="00690F5D">
              <w:rPr>
                <w:rFonts w:eastAsia="Calibri" w:cs="Calibri"/>
                <w:szCs w:val="18"/>
              </w:rPr>
              <w:t>blood</w:t>
            </w:r>
            <w:proofErr w:type="spellEnd"/>
            <w:r w:rsidRPr="00690F5D">
              <w:rPr>
                <w:rFonts w:eastAsia="Calibri" w:cs="Calibri"/>
                <w:szCs w:val="18"/>
              </w:rPr>
              <w:t xml:space="preserve"> </w:t>
            </w:r>
            <w:proofErr w:type="spellStart"/>
            <w:r w:rsidRPr="00690F5D">
              <w:rPr>
                <w:rFonts w:eastAsia="Calibri" w:cs="Calibri"/>
                <w:szCs w:val="18"/>
              </w:rPr>
              <w:t>sampling</w:t>
            </w:r>
            <w:proofErr w:type="spellEnd"/>
            <w:r w:rsidRPr="00690F5D">
              <w:rPr>
                <w:rFonts w:eastAsia="Calibri" w:cs="Calibri"/>
                <w:szCs w:val="18"/>
              </w:rPr>
              <w:t xml:space="preserve"> </w:t>
            </w:r>
            <w:proofErr w:type="spellStart"/>
            <w:r w:rsidRPr="00690F5D">
              <w:rPr>
                <w:rFonts w:eastAsia="Calibri" w:cs="Calibri"/>
                <w:szCs w:val="18"/>
              </w:rPr>
              <w:t>October</w:t>
            </w:r>
            <w:proofErr w:type="spellEnd"/>
            <w:r w:rsidRPr="00690F5D">
              <w:rPr>
                <w:rFonts w:eastAsia="Calibri" w:cs="Calibri"/>
                <w:szCs w:val="18"/>
              </w:rPr>
              <w:br/>
              <w:t xml:space="preserve">2017). Τα είδη αυτά αποτελούν ομάδα ώστε να υπάρχει πλήρης συμβατότητα βελόνας </w:t>
            </w:r>
            <w:r w:rsidRPr="00690F5D">
              <w:rPr>
                <w:rFonts w:eastAsia="Calibri" w:cs="Calibri"/>
                <w:color w:val="2D2E24"/>
                <w:szCs w:val="18"/>
              </w:rPr>
              <w:t xml:space="preserve">- </w:t>
            </w:r>
            <w:r w:rsidRPr="00690F5D">
              <w:rPr>
                <w:rFonts w:eastAsia="Calibri" w:cs="Calibri"/>
                <w:szCs w:val="18"/>
              </w:rPr>
              <w:t>πεταλούδας αιμοληψίας και σωληνάριων αιμοληψίας κενού</w:t>
            </w:r>
            <w:r w:rsidRPr="00690F5D">
              <w:rPr>
                <w:rFonts w:eastAsia="Calibri" w:cs="Calibri"/>
                <w:szCs w:val="18"/>
              </w:rPr>
              <w:br/>
              <w:t>(πιστοποιημένη αναλογία αίματος - προσθέτου, σωστή πλήρωση σωληνάριων, ελαχιστοποίηση λανθασμένων δειγμάτων). Για τον λόγο αυτό δεν θα γίνουν</w:t>
            </w:r>
            <w:r w:rsidRPr="00690F5D">
              <w:rPr>
                <w:rFonts w:eastAsia="Calibri" w:cs="Calibri"/>
                <w:szCs w:val="18"/>
              </w:rPr>
              <w:br/>
              <w:t>αποδεκτές οι μεμονωμένες προσφορές των εταιρειών, παρά μόνο οι προσφορές που αφορούν στο σύνολο των υλικών.</w:t>
            </w:r>
          </w:p>
          <w:p w:rsidR="00FA1F89" w:rsidRDefault="00FA1F89" w:rsidP="00F41318">
            <w:pPr>
              <w:rPr>
                <w:rFonts w:asciiTheme="minorHAnsi" w:hAnsiTheme="minorHAnsi" w:cstheme="minorHAnsi"/>
                <w:b/>
                <w:szCs w:val="18"/>
              </w:rPr>
            </w:pPr>
          </w:p>
        </w:tc>
        <w:tc>
          <w:tcPr>
            <w:tcW w:w="1555" w:type="dxa"/>
          </w:tcPr>
          <w:p w:rsidR="00FA1F89" w:rsidRPr="00F72CC7" w:rsidRDefault="00FA1F89" w:rsidP="00F41318">
            <w:pPr>
              <w:pStyle w:val="normalwithoutspacing"/>
              <w:spacing w:before="57" w:after="57"/>
              <w:rPr>
                <w:rFonts w:asciiTheme="minorHAnsi" w:hAnsiTheme="minorHAnsi" w:cstheme="minorHAnsi"/>
                <w:b/>
                <w:sz w:val="18"/>
                <w:szCs w:val="18"/>
                <w:lang w:val="en-US"/>
              </w:rPr>
            </w:pPr>
            <w:r>
              <w:rPr>
                <w:rFonts w:asciiTheme="minorHAnsi" w:hAnsiTheme="minorHAnsi" w:cstheme="minorHAnsi"/>
                <w:b/>
                <w:sz w:val="18"/>
                <w:szCs w:val="18"/>
                <w:lang w:val="en-US"/>
              </w:rPr>
              <w:t xml:space="preserve">NAI </w:t>
            </w:r>
          </w:p>
        </w:tc>
        <w:tc>
          <w:tcPr>
            <w:tcW w:w="1696" w:type="dxa"/>
          </w:tcPr>
          <w:p w:rsidR="00FA1F89" w:rsidRPr="00CA5642" w:rsidRDefault="00FA1F89" w:rsidP="00F41318">
            <w:pPr>
              <w:pStyle w:val="normalwithoutspacing"/>
              <w:spacing w:before="57" w:after="57"/>
              <w:rPr>
                <w:rFonts w:asciiTheme="minorHAnsi" w:hAnsiTheme="minorHAnsi" w:cstheme="minorHAnsi"/>
                <w:i/>
                <w:color w:val="FF0000"/>
                <w:sz w:val="18"/>
                <w:szCs w:val="18"/>
              </w:rPr>
            </w:pPr>
          </w:p>
        </w:tc>
        <w:tc>
          <w:tcPr>
            <w:tcW w:w="1665" w:type="dxa"/>
          </w:tcPr>
          <w:p w:rsidR="00FA1F89" w:rsidRPr="00CA5642" w:rsidRDefault="00FA1F89" w:rsidP="00F41318">
            <w:pPr>
              <w:pStyle w:val="normalwithoutspacing"/>
              <w:spacing w:before="57" w:after="57"/>
              <w:rPr>
                <w:rFonts w:asciiTheme="minorHAnsi" w:hAnsiTheme="minorHAnsi" w:cstheme="minorHAnsi"/>
                <w:i/>
                <w:color w:val="FF0000"/>
                <w:sz w:val="18"/>
                <w:szCs w:val="18"/>
              </w:rPr>
            </w:pPr>
          </w:p>
        </w:tc>
      </w:tr>
      <w:tr w:rsidR="00FA1F89" w:rsidRPr="00CA5642" w:rsidTr="00F41318">
        <w:tc>
          <w:tcPr>
            <w:tcW w:w="578" w:type="dxa"/>
          </w:tcPr>
          <w:p w:rsidR="00FA1F89" w:rsidRPr="00CA5642" w:rsidRDefault="00FA1F89" w:rsidP="00F41318">
            <w:pPr>
              <w:pStyle w:val="normalwithoutspacing"/>
              <w:spacing w:before="57" w:after="57"/>
              <w:rPr>
                <w:rFonts w:asciiTheme="minorHAnsi" w:hAnsiTheme="minorHAnsi" w:cstheme="minorHAnsi"/>
                <w:i/>
                <w:color w:val="FF0000"/>
                <w:sz w:val="18"/>
                <w:szCs w:val="18"/>
              </w:rPr>
            </w:pPr>
            <w:r w:rsidRPr="00CA5642">
              <w:rPr>
                <w:rFonts w:asciiTheme="minorHAnsi" w:hAnsiTheme="minorHAnsi" w:cstheme="minorHAnsi"/>
                <w:sz w:val="18"/>
                <w:szCs w:val="18"/>
              </w:rPr>
              <w:t>1</w:t>
            </w:r>
          </w:p>
        </w:tc>
        <w:tc>
          <w:tcPr>
            <w:tcW w:w="4360" w:type="dxa"/>
          </w:tcPr>
          <w:p w:rsidR="00FA1F89" w:rsidRPr="00690F5D" w:rsidRDefault="00FA1F89" w:rsidP="00690F5D">
            <w:pPr>
              <w:rPr>
                <w:rFonts w:asciiTheme="minorHAnsi" w:hAnsiTheme="minorHAnsi" w:cstheme="minorHAnsi"/>
                <w:sz w:val="16"/>
                <w:szCs w:val="16"/>
              </w:rPr>
            </w:pPr>
            <w:r w:rsidRPr="00690F5D">
              <w:rPr>
                <w:rFonts w:asciiTheme="minorHAnsi" w:hAnsiTheme="minorHAnsi" w:cstheme="minorHAnsi"/>
                <w:b/>
                <w:sz w:val="16"/>
                <w:szCs w:val="16"/>
              </w:rPr>
              <w:t xml:space="preserve"> </w:t>
            </w:r>
            <w:r w:rsidR="00690F5D" w:rsidRPr="00493C37">
              <w:rPr>
                <w:rFonts w:cs="Arial"/>
                <w:color w:val="000000"/>
                <w:sz w:val="16"/>
                <w:szCs w:val="16"/>
              </w:rPr>
              <w:t xml:space="preserve">ΣΕΤ ΣΥΛΛΟΓΗΣ ΑΙΜΑΤΟΣ ΥΠΟ ΚΕΝΟ, Φιαλίδια γενικής </w:t>
            </w:r>
            <w:proofErr w:type="spellStart"/>
            <w:r w:rsidR="00690F5D" w:rsidRPr="00493C37">
              <w:rPr>
                <w:rFonts w:cs="Arial"/>
                <w:color w:val="000000"/>
                <w:sz w:val="16"/>
                <w:szCs w:val="16"/>
              </w:rPr>
              <w:t>αίµατος</w:t>
            </w:r>
            <w:proofErr w:type="spellEnd"/>
            <w:r w:rsidR="00690F5D" w:rsidRPr="00493C37">
              <w:rPr>
                <w:rFonts w:cs="Arial"/>
                <w:color w:val="000000"/>
                <w:sz w:val="16"/>
                <w:szCs w:val="16"/>
              </w:rPr>
              <w:t xml:space="preserve">, κενού αέρα, </w:t>
            </w:r>
            <w:proofErr w:type="spellStart"/>
            <w:r w:rsidR="00690F5D" w:rsidRPr="00493C37">
              <w:rPr>
                <w:rFonts w:cs="Arial"/>
                <w:color w:val="000000"/>
                <w:sz w:val="16"/>
                <w:szCs w:val="16"/>
              </w:rPr>
              <w:t>αποστειρωµένα</w:t>
            </w:r>
            <w:proofErr w:type="spellEnd"/>
            <w:r w:rsidR="00690F5D" w:rsidRPr="00493C37">
              <w:rPr>
                <w:rFonts w:cs="Arial"/>
                <w:color w:val="000000"/>
                <w:sz w:val="16"/>
                <w:szCs w:val="16"/>
              </w:rPr>
              <w:t>, συνθετικά άθραυστα, µε ένδειξη πλήρωσης και ετικέτα για στοιχεία ασθενούς, να αναγράφεται το CE, LOT παραγωγής, REF, η µ</w:t>
            </w:r>
            <w:proofErr w:type="spellStart"/>
            <w:r w:rsidR="00690F5D" w:rsidRPr="00493C37">
              <w:rPr>
                <w:rFonts w:cs="Arial"/>
                <w:color w:val="000000"/>
                <w:sz w:val="16"/>
                <w:szCs w:val="16"/>
              </w:rPr>
              <w:t>έθοδος</w:t>
            </w:r>
            <w:proofErr w:type="spellEnd"/>
            <w:r w:rsidR="00690F5D" w:rsidRPr="00493C37">
              <w:rPr>
                <w:rFonts w:cs="Arial"/>
                <w:color w:val="000000"/>
                <w:sz w:val="16"/>
                <w:szCs w:val="16"/>
              </w:rPr>
              <w:t xml:space="preserve"> αποστείρωσης και η </w:t>
            </w:r>
            <w:proofErr w:type="spellStart"/>
            <w:r w:rsidR="00690F5D" w:rsidRPr="00493C37">
              <w:rPr>
                <w:rFonts w:cs="Arial"/>
                <w:color w:val="000000"/>
                <w:sz w:val="16"/>
                <w:szCs w:val="16"/>
              </w:rPr>
              <w:t>ηµεροµηνία</w:t>
            </w:r>
            <w:proofErr w:type="spellEnd"/>
            <w:r w:rsidR="00690F5D" w:rsidRPr="00493C37">
              <w:rPr>
                <w:rFonts w:cs="Arial"/>
                <w:color w:val="000000"/>
                <w:sz w:val="16"/>
                <w:szCs w:val="16"/>
              </w:rPr>
              <w:t xml:space="preserve"> λήξης, διαστάσεων 13Χ75mm, µε πιεστό </w:t>
            </w:r>
            <w:proofErr w:type="spellStart"/>
            <w:r w:rsidR="00690F5D" w:rsidRPr="00493C37">
              <w:rPr>
                <w:rFonts w:cs="Arial"/>
                <w:color w:val="000000"/>
                <w:sz w:val="16"/>
                <w:szCs w:val="16"/>
              </w:rPr>
              <w:t>πώµα</w:t>
            </w:r>
            <w:proofErr w:type="spellEnd"/>
            <w:r w:rsidR="00690F5D" w:rsidRPr="00493C37">
              <w:rPr>
                <w:rFonts w:cs="Arial"/>
                <w:color w:val="000000"/>
                <w:sz w:val="16"/>
                <w:szCs w:val="16"/>
              </w:rPr>
              <w:t xml:space="preserve"> ασφαλείας, στεγανής </w:t>
            </w:r>
            <w:proofErr w:type="spellStart"/>
            <w:r w:rsidR="00690F5D" w:rsidRPr="00493C37">
              <w:rPr>
                <w:rFonts w:cs="Arial"/>
                <w:color w:val="000000"/>
                <w:sz w:val="16"/>
                <w:szCs w:val="16"/>
              </w:rPr>
              <w:t>εφαρµογής</w:t>
            </w:r>
            <w:proofErr w:type="spellEnd"/>
            <w:r w:rsidR="00690F5D" w:rsidRPr="00493C37">
              <w:rPr>
                <w:rFonts w:cs="Arial"/>
                <w:color w:val="000000"/>
                <w:sz w:val="16"/>
                <w:szCs w:val="16"/>
              </w:rPr>
              <w:t xml:space="preserve"> και εύκολης διάτρησης, που να καλύπτει εξωτερικά το φιαλίδιο κατά 2cm, χωρητικότητας 2ml µε αντιπηκτικό EDTA K2</w:t>
            </w:r>
          </w:p>
        </w:tc>
        <w:tc>
          <w:tcPr>
            <w:tcW w:w="1555" w:type="dxa"/>
          </w:tcPr>
          <w:p w:rsidR="00FA1F89" w:rsidRPr="00CA5642" w:rsidRDefault="00FA1F89" w:rsidP="00F41318">
            <w:pPr>
              <w:pStyle w:val="normalwithoutspacing"/>
              <w:spacing w:before="57" w:after="57"/>
              <w:rPr>
                <w:rFonts w:asciiTheme="minorHAnsi" w:hAnsiTheme="minorHAnsi" w:cstheme="minorHAnsi"/>
                <w:b/>
                <w:sz w:val="18"/>
                <w:szCs w:val="18"/>
              </w:rPr>
            </w:pPr>
            <w:r w:rsidRPr="00CA5642">
              <w:rPr>
                <w:rFonts w:asciiTheme="minorHAnsi" w:hAnsiTheme="minorHAnsi" w:cstheme="minorHAnsi"/>
                <w:b/>
                <w:sz w:val="18"/>
                <w:szCs w:val="18"/>
              </w:rPr>
              <w:t>ΝΑΙ</w:t>
            </w:r>
          </w:p>
        </w:tc>
        <w:tc>
          <w:tcPr>
            <w:tcW w:w="1696" w:type="dxa"/>
          </w:tcPr>
          <w:p w:rsidR="00FA1F89" w:rsidRPr="00CA5642" w:rsidRDefault="00FA1F89" w:rsidP="00F41318">
            <w:pPr>
              <w:pStyle w:val="normalwithoutspacing"/>
              <w:spacing w:before="57" w:after="57"/>
              <w:rPr>
                <w:rFonts w:asciiTheme="minorHAnsi" w:hAnsiTheme="minorHAnsi" w:cstheme="minorHAnsi"/>
                <w:i/>
                <w:color w:val="FF0000"/>
                <w:sz w:val="18"/>
                <w:szCs w:val="18"/>
              </w:rPr>
            </w:pPr>
          </w:p>
        </w:tc>
        <w:tc>
          <w:tcPr>
            <w:tcW w:w="1665" w:type="dxa"/>
          </w:tcPr>
          <w:p w:rsidR="00FA1F89" w:rsidRPr="00CA5642" w:rsidRDefault="00FA1F89" w:rsidP="00F41318">
            <w:pPr>
              <w:pStyle w:val="normalwithoutspacing"/>
              <w:spacing w:before="57" w:after="57"/>
              <w:rPr>
                <w:rFonts w:asciiTheme="minorHAnsi" w:hAnsiTheme="minorHAnsi" w:cstheme="minorHAnsi"/>
                <w:i/>
                <w:color w:val="FF0000"/>
                <w:sz w:val="18"/>
                <w:szCs w:val="18"/>
              </w:rPr>
            </w:pPr>
          </w:p>
        </w:tc>
      </w:tr>
      <w:tr w:rsidR="00FA1F89" w:rsidRPr="00CA5642" w:rsidTr="00F41318">
        <w:tc>
          <w:tcPr>
            <w:tcW w:w="578" w:type="dxa"/>
          </w:tcPr>
          <w:p w:rsidR="00FA1F89" w:rsidRPr="00CA5642" w:rsidRDefault="00FA1F89" w:rsidP="00F41318">
            <w:pPr>
              <w:pStyle w:val="normalwithoutspacing"/>
              <w:spacing w:before="57" w:after="57"/>
              <w:rPr>
                <w:rFonts w:asciiTheme="minorHAnsi" w:hAnsiTheme="minorHAnsi" w:cstheme="minorHAnsi"/>
                <w:i/>
                <w:color w:val="FF0000"/>
                <w:sz w:val="18"/>
                <w:szCs w:val="18"/>
                <w:lang w:val="en-US"/>
              </w:rPr>
            </w:pPr>
            <w:r w:rsidRPr="00CA5642">
              <w:rPr>
                <w:rFonts w:asciiTheme="minorHAnsi" w:hAnsiTheme="minorHAnsi" w:cstheme="minorHAnsi"/>
                <w:sz w:val="18"/>
                <w:szCs w:val="18"/>
              </w:rPr>
              <w:t>2</w:t>
            </w:r>
          </w:p>
        </w:tc>
        <w:tc>
          <w:tcPr>
            <w:tcW w:w="4360" w:type="dxa"/>
          </w:tcPr>
          <w:p w:rsidR="00690F5D" w:rsidRPr="00690F5D" w:rsidRDefault="00690F5D" w:rsidP="00690F5D">
            <w:pPr>
              <w:jc w:val="center"/>
              <w:rPr>
                <w:rFonts w:cs="Arial"/>
                <w:sz w:val="16"/>
                <w:szCs w:val="16"/>
              </w:rPr>
            </w:pPr>
            <w:r w:rsidRPr="00690F5D">
              <w:rPr>
                <w:rFonts w:cs="Arial"/>
                <w:color w:val="000000"/>
                <w:sz w:val="16"/>
                <w:szCs w:val="16"/>
              </w:rPr>
              <w:t xml:space="preserve">ΣΕΤ ΣΥΛΛΟΓΗΣ ΑΙΜΑΤΟΣ ΥΠΟ ΚΕΝΟ, Φιαλίδια γενικής </w:t>
            </w:r>
            <w:proofErr w:type="spellStart"/>
            <w:r w:rsidRPr="00690F5D">
              <w:rPr>
                <w:rFonts w:cs="Arial"/>
                <w:color w:val="000000"/>
                <w:sz w:val="16"/>
                <w:szCs w:val="16"/>
              </w:rPr>
              <w:t>αίµατος</w:t>
            </w:r>
            <w:proofErr w:type="spellEnd"/>
            <w:r w:rsidRPr="00690F5D">
              <w:rPr>
                <w:rFonts w:cs="Arial"/>
                <w:color w:val="000000"/>
                <w:sz w:val="16"/>
                <w:szCs w:val="16"/>
              </w:rPr>
              <w:t xml:space="preserve">, κενού αέρα, </w:t>
            </w:r>
            <w:proofErr w:type="spellStart"/>
            <w:r w:rsidRPr="00690F5D">
              <w:rPr>
                <w:rFonts w:cs="Arial"/>
                <w:color w:val="000000"/>
                <w:sz w:val="16"/>
                <w:szCs w:val="16"/>
              </w:rPr>
              <w:t>αποστειρωµένα</w:t>
            </w:r>
            <w:proofErr w:type="spellEnd"/>
            <w:r w:rsidRPr="00690F5D">
              <w:rPr>
                <w:rFonts w:cs="Arial"/>
                <w:color w:val="000000"/>
                <w:sz w:val="16"/>
                <w:szCs w:val="16"/>
              </w:rPr>
              <w:t>, συνθετικά άθραυστα, µε ένδειξη πλήρωσης και ετικέτα για στοιχεία ασθενούς, να αναγράφεται το CE, LOT παραγωγής, REF, η µ</w:t>
            </w:r>
            <w:proofErr w:type="spellStart"/>
            <w:r w:rsidRPr="00690F5D">
              <w:rPr>
                <w:rFonts w:cs="Arial"/>
                <w:color w:val="000000"/>
                <w:sz w:val="16"/>
                <w:szCs w:val="16"/>
              </w:rPr>
              <w:t>έθοδος</w:t>
            </w:r>
            <w:proofErr w:type="spellEnd"/>
            <w:r w:rsidRPr="00690F5D">
              <w:rPr>
                <w:rFonts w:cs="Arial"/>
                <w:color w:val="000000"/>
                <w:sz w:val="16"/>
                <w:szCs w:val="16"/>
              </w:rPr>
              <w:t xml:space="preserve"> αποστείρωσης και η </w:t>
            </w:r>
            <w:proofErr w:type="spellStart"/>
            <w:r w:rsidRPr="00690F5D">
              <w:rPr>
                <w:rFonts w:cs="Arial"/>
                <w:color w:val="000000"/>
                <w:sz w:val="16"/>
                <w:szCs w:val="16"/>
              </w:rPr>
              <w:t>ηµεροµηνία</w:t>
            </w:r>
            <w:proofErr w:type="spellEnd"/>
            <w:r w:rsidRPr="00690F5D">
              <w:rPr>
                <w:rFonts w:cs="Arial"/>
                <w:color w:val="000000"/>
                <w:sz w:val="16"/>
                <w:szCs w:val="16"/>
              </w:rPr>
              <w:t xml:space="preserve"> λήξης, διαστάσεων 13Χ75mm, µε πιεστό </w:t>
            </w:r>
            <w:proofErr w:type="spellStart"/>
            <w:r w:rsidRPr="00690F5D">
              <w:rPr>
                <w:rFonts w:cs="Arial"/>
                <w:color w:val="000000"/>
                <w:sz w:val="16"/>
                <w:szCs w:val="16"/>
              </w:rPr>
              <w:t>πώµα</w:t>
            </w:r>
            <w:proofErr w:type="spellEnd"/>
            <w:r w:rsidRPr="00690F5D">
              <w:rPr>
                <w:rFonts w:cs="Arial"/>
                <w:color w:val="000000"/>
                <w:sz w:val="16"/>
                <w:szCs w:val="16"/>
              </w:rPr>
              <w:t xml:space="preserve"> ασφαλείας, στεγανής </w:t>
            </w:r>
            <w:proofErr w:type="spellStart"/>
            <w:r w:rsidRPr="00690F5D">
              <w:rPr>
                <w:rFonts w:cs="Arial"/>
                <w:color w:val="000000"/>
                <w:sz w:val="16"/>
                <w:szCs w:val="16"/>
              </w:rPr>
              <w:t>εφαρµογής</w:t>
            </w:r>
            <w:proofErr w:type="spellEnd"/>
            <w:r w:rsidRPr="00690F5D">
              <w:rPr>
                <w:rFonts w:cs="Arial"/>
                <w:color w:val="000000"/>
                <w:sz w:val="16"/>
                <w:szCs w:val="16"/>
              </w:rPr>
              <w:t xml:space="preserve"> και εύκολης διάτρησης, που να καλύπτει εξωτερικά το φιαλίδιο κατά 2cm, χωρητικότητας 4ml µε αντιπηκτικό EDTA K2</w:t>
            </w:r>
          </w:p>
          <w:p w:rsidR="00FA1F89" w:rsidRPr="00CA5642" w:rsidRDefault="00FA1F89" w:rsidP="00F41318">
            <w:pPr>
              <w:tabs>
                <w:tab w:val="left" w:pos="180"/>
              </w:tabs>
              <w:autoSpaceDE w:val="0"/>
              <w:autoSpaceDN w:val="0"/>
              <w:adjustRightInd w:val="0"/>
              <w:spacing w:line="360" w:lineRule="auto"/>
              <w:rPr>
                <w:rFonts w:asciiTheme="minorHAnsi" w:hAnsiTheme="minorHAnsi" w:cstheme="minorHAnsi"/>
                <w:color w:val="FF0000"/>
                <w:szCs w:val="18"/>
              </w:rPr>
            </w:pPr>
          </w:p>
        </w:tc>
        <w:tc>
          <w:tcPr>
            <w:tcW w:w="1555" w:type="dxa"/>
          </w:tcPr>
          <w:p w:rsidR="00FA1F89" w:rsidRPr="00CA5642" w:rsidRDefault="00FA1F89" w:rsidP="00F41318">
            <w:pPr>
              <w:pStyle w:val="normalwithoutspacing"/>
              <w:spacing w:before="57" w:after="57"/>
              <w:rPr>
                <w:rFonts w:asciiTheme="minorHAnsi" w:hAnsiTheme="minorHAnsi" w:cstheme="minorHAnsi"/>
                <w:b/>
                <w:sz w:val="18"/>
                <w:szCs w:val="18"/>
              </w:rPr>
            </w:pPr>
            <w:r w:rsidRPr="00CA5642">
              <w:rPr>
                <w:rFonts w:asciiTheme="minorHAnsi" w:hAnsiTheme="minorHAnsi" w:cstheme="minorHAnsi"/>
                <w:b/>
                <w:sz w:val="18"/>
                <w:szCs w:val="18"/>
              </w:rPr>
              <w:t>NAI</w:t>
            </w:r>
          </w:p>
        </w:tc>
        <w:tc>
          <w:tcPr>
            <w:tcW w:w="1696" w:type="dxa"/>
          </w:tcPr>
          <w:p w:rsidR="00FA1F89" w:rsidRPr="00CA5642" w:rsidRDefault="00FA1F89" w:rsidP="00F41318">
            <w:pPr>
              <w:pStyle w:val="normalwithoutspacing"/>
              <w:spacing w:before="57" w:after="57"/>
              <w:rPr>
                <w:rFonts w:asciiTheme="minorHAnsi" w:hAnsiTheme="minorHAnsi" w:cstheme="minorHAnsi"/>
                <w:i/>
                <w:color w:val="FF0000"/>
                <w:sz w:val="18"/>
                <w:szCs w:val="18"/>
              </w:rPr>
            </w:pPr>
          </w:p>
        </w:tc>
        <w:tc>
          <w:tcPr>
            <w:tcW w:w="1665" w:type="dxa"/>
          </w:tcPr>
          <w:p w:rsidR="00FA1F89" w:rsidRPr="00CA5642" w:rsidRDefault="00FA1F89" w:rsidP="00F41318">
            <w:pPr>
              <w:pStyle w:val="normalwithoutspacing"/>
              <w:spacing w:before="57" w:after="57"/>
              <w:rPr>
                <w:rFonts w:asciiTheme="minorHAnsi" w:hAnsiTheme="minorHAnsi" w:cstheme="minorHAnsi"/>
                <w:i/>
                <w:color w:val="FF0000"/>
                <w:sz w:val="18"/>
                <w:szCs w:val="18"/>
              </w:rPr>
            </w:pPr>
          </w:p>
        </w:tc>
      </w:tr>
      <w:tr w:rsidR="00FA1F89" w:rsidRPr="00CA5642" w:rsidTr="00F41318">
        <w:tc>
          <w:tcPr>
            <w:tcW w:w="578" w:type="dxa"/>
          </w:tcPr>
          <w:p w:rsidR="00FA1F89" w:rsidRPr="00CA5642" w:rsidRDefault="00FA1F89" w:rsidP="00F41318">
            <w:pPr>
              <w:pStyle w:val="normalwithoutspacing"/>
              <w:spacing w:before="57" w:after="57"/>
              <w:rPr>
                <w:rFonts w:asciiTheme="minorHAnsi" w:hAnsiTheme="minorHAnsi" w:cstheme="minorHAnsi"/>
                <w:i/>
                <w:color w:val="FF0000"/>
                <w:sz w:val="18"/>
                <w:szCs w:val="18"/>
                <w:lang w:val="en-US"/>
              </w:rPr>
            </w:pPr>
            <w:r w:rsidRPr="00CA5642">
              <w:rPr>
                <w:rFonts w:asciiTheme="minorHAnsi" w:hAnsiTheme="minorHAnsi" w:cstheme="minorHAnsi"/>
                <w:sz w:val="18"/>
                <w:szCs w:val="18"/>
              </w:rPr>
              <w:t>3</w:t>
            </w:r>
          </w:p>
        </w:tc>
        <w:tc>
          <w:tcPr>
            <w:tcW w:w="4360" w:type="dxa"/>
          </w:tcPr>
          <w:p w:rsidR="00690F5D" w:rsidRPr="00690F5D" w:rsidRDefault="00FA1F89" w:rsidP="00690F5D">
            <w:pPr>
              <w:jc w:val="center"/>
              <w:rPr>
                <w:rFonts w:cs="Arial"/>
                <w:sz w:val="16"/>
                <w:szCs w:val="16"/>
              </w:rPr>
            </w:pPr>
            <w:r>
              <w:rPr>
                <w:rFonts w:cs="Calibri"/>
                <w:sz w:val="20"/>
              </w:rPr>
              <w:t xml:space="preserve"> </w:t>
            </w:r>
            <w:r w:rsidR="00690F5D" w:rsidRPr="00690F5D">
              <w:rPr>
                <w:rFonts w:cs="Arial"/>
                <w:color w:val="000000"/>
                <w:sz w:val="16"/>
                <w:szCs w:val="16"/>
              </w:rPr>
              <w:t>ΣΕΤ ΣΥΛΛΟΓΗΣ ΑΙΜΑΤΟΣ ΥΠΟ ΚΕΝΟ, Φιαλίδια γενικής αίματος για Μοριακό έλεγχο ΝΑΤ του αίματος (Μοριακός έλεγχος ασκών Αιμοδοσίας), κενού αέρα, αποστειρωμένα, συνθετικά άθραυστα, με ένδειξη πλήρωσης και ετικέτα για στοιχεία ασθενούς, να αναγράφεται το CE, LOT παραγωγής, REF, η μέθοδος αποστείρωσης και η ημερομηνία λήξης.  Διαστάσεων 13Χ100mm, με πιεστό πώμα ασφαλείας, στεγανής εφαρμογής και εύκολης διάτρησης, που να καλύπτει εξωτερικά το φιαλίδιο κατά 2cm. Χωρητικότητας 6ml με αντιπηκτικό 10,8mg EDTA K2</w:t>
            </w:r>
          </w:p>
          <w:p w:rsidR="00FA1F89" w:rsidRPr="00F72CC7" w:rsidRDefault="00FA1F89" w:rsidP="00690F5D">
            <w:pPr>
              <w:tabs>
                <w:tab w:val="left" w:pos="180"/>
              </w:tabs>
              <w:autoSpaceDE w:val="0"/>
              <w:autoSpaceDN w:val="0"/>
              <w:adjustRightInd w:val="0"/>
              <w:spacing w:line="360" w:lineRule="auto"/>
              <w:rPr>
                <w:rFonts w:asciiTheme="minorHAnsi" w:hAnsiTheme="minorHAnsi" w:cstheme="minorHAnsi"/>
                <w:szCs w:val="18"/>
              </w:rPr>
            </w:pPr>
          </w:p>
        </w:tc>
        <w:tc>
          <w:tcPr>
            <w:tcW w:w="1555" w:type="dxa"/>
          </w:tcPr>
          <w:p w:rsidR="00FA1F89" w:rsidRPr="00CA5642" w:rsidRDefault="00FA1F89" w:rsidP="00F41318">
            <w:pPr>
              <w:pStyle w:val="normalwithoutspacing"/>
              <w:spacing w:before="57" w:after="57"/>
              <w:rPr>
                <w:rFonts w:asciiTheme="minorHAnsi" w:hAnsiTheme="minorHAnsi" w:cstheme="minorHAnsi"/>
                <w:b/>
                <w:sz w:val="18"/>
                <w:szCs w:val="18"/>
              </w:rPr>
            </w:pPr>
            <w:r w:rsidRPr="00CA5642">
              <w:rPr>
                <w:rFonts w:asciiTheme="minorHAnsi" w:hAnsiTheme="minorHAnsi" w:cstheme="minorHAnsi"/>
                <w:b/>
                <w:sz w:val="18"/>
                <w:szCs w:val="18"/>
              </w:rPr>
              <w:t>NAI</w:t>
            </w:r>
          </w:p>
        </w:tc>
        <w:tc>
          <w:tcPr>
            <w:tcW w:w="1696" w:type="dxa"/>
          </w:tcPr>
          <w:p w:rsidR="00FA1F89" w:rsidRPr="00CA5642" w:rsidRDefault="00FA1F89" w:rsidP="00F41318">
            <w:pPr>
              <w:pStyle w:val="normalwithoutspacing"/>
              <w:spacing w:before="57" w:after="57"/>
              <w:rPr>
                <w:rFonts w:asciiTheme="minorHAnsi" w:hAnsiTheme="minorHAnsi" w:cstheme="minorHAnsi"/>
                <w:i/>
                <w:color w:val="FF0000"/>
                <w:sz w:val="18"/>
                <w:szCs w:val="18"/>
              </w:rPr>
            </w:pPr>
          </w:p>
        </w:tc>
        <w:tc>
          <w:tcPr>
            <w:tcW w:w="1665" w:type="dxa"/>
          </w:tcPr>
          <w:p w:rsidR="00FA1F89" w:rsidRPr="00CA5642" w:rsidRDefault="00FA1F89" w:rsidP="00F41318">
            <w:pPr>
              <w:pStyle w:val="normalwithoutspacing"/>
              <w:spacing w:before="57" w:after="57"/>
              <w:rPr>
                <w:rFonts w:asciiTheme="minorHAnsi" w:hAnsiTheme="minorHAnsi" w:cstheme="minorHAnsi"/>
                <w:i/>
                <w:color w:val="FF0000"/>
                <w:sz w:val="18"/>
                <w:szCs w:val="18"/>
              </w:rPr>
            </w:pPr>
          </w:p>
        </w:tc>
      </w:tr>
      <w:tr w:rsidR="00FA1F89" w:rsidRPr="00CA5642" w:rsidTr="00F41318">
        <w:tc>
          <w:tcPr>
            <w:tcW w:w="578" w:type="dxa"/>
          </w:tcPr>
          <w:p w:rsidR="00FA1F89" w:rsidRPr="00BF75DB" w:rsidRDefault="00FA1F89" w:rsidP="00F41318">
            <w:pPr>
              <w:pStyle w:val="normalwithoutspacing"/>
              <w:spacing w:before="57" w:after="57"/>
              <w:rPr>
                <w:rFonts w:asciiTheme="minorHAnsi" w:hAnsiTheme="minorHAnsi" w:cstheme="minorHAnsi"/>
                <w:i/>
                <w:color w:val="auto"/>
                <w:sz w:val="18"/>
                <w:szCs w:val="18"/>
              </w:rPr>
            </w:pPr>
            <w:r w:rsidRPr="00BF75DB">
              <w:rPr>
                <w:rFonts w:asciiTheme="minorHAnsi" w:hAnsiTheme="minorHAnsi" w:cstheme="minorHAnsi"/>
                <w:i/>
                <w:color w:val="auto"/>
                <w:sz w:val="18"/>
                <w:szCs w:val="18"/>
              </w:rPr>
              <w:lastRenderedPageBreak/>
              <w:t>4</w:t>
            </w:r>
          </w:p>
        </w:tc>
        <w:tc>
          <w:tcPr>
            <w:tcW w:w="4360" w:type="dxa"/>
          </w:tcPr>
          <w:p w:rsidR="00FA1F89" w:rsidRPr="00690F5D" w:rsidRDefault="00FA1F89" w:rsidP="00690F5D">
            <w:pPr>
              <w:tabs>
                <w:tab w:val="left" w:pos="180"/>
              </w:tabs>
              <w:autoSpaceDE w:val="0"/>
              <w:autoSpaceDN w:val="0"/>
              <w:adjustRightInd w:val="0"/>
              <w:spacing w:line="360" w:lineRule="auto"/>
              <w:rPr>
                <w:rFonts w:asciiTheme="minorHAnsi" w:hAnsiTheme="minorHAnsi" w:cstheme="minorHAnsi"/>
                <w:sz w:val="16"/>
                <w:szCs w:val="16"/>
              </w:rPr>
            </w:pPr>
            <w:r>
              <w:rPr>
                <w:rFonts w:cs="Calibri"/>
                <w:sz w:val="20"/>
              </w:rPr>
              <w:t xml:space="preserve">  </w:t>
            </w:r>
            <w:r w:rsidR="00690F5D" w:rsidRPr="00690F5D">
              <w:rPr>
                <w:rFonts w:cs="Arial"/>
                <w:color w:val="000000"/>
                <w:sz w:val="16"/>
                <w:szCs w:val="16"/>
              </w:rPr>
              <w:t xml:space="preserve">ΣΕΤ ΣΥΛΛΟΓΗΣ ΑΙΜΑΤΟΣ ΥΠΟ ΚΕΝΟ, Φιαλίδια γενικής αίματος για Μοριακό έλεγχο ΝΑΤ του αίματος (Μοριακός έλεγχος ασκών Αιμοδοσίας), κενού αέρα, αποστειρωμένα, συνθετικά άθραυστα, με ένδειξη πλήρωσης και ετικέτα για στοιχεία ασθενούς, να αναγράφεται το CE, LOT παραγωγής, REF, η μέθοδος αποστείρωσης η χώρα προέλευσης και η ημερομηνία λήξης.  Να είναι αποστειρωμένα με ακτινοβολία, EN ISO 11137, με </w:t>
            </w:r>
            <w:proofErr w:type="spellStart"/>
            <w:r w:rsidR="00690F5D" w:rsidRPr="00690F5D">
              <w:rPr>
                <w:rFonts w:cs="Arial"/>
                <w:color w:val="000000"/>
                <w:sz w:val="16"/>
                <w:szCs w:val="16"/>
              </w:rPr>
              <w:t>sterility</w:t>
            </w:r>
            <w:proofErr w:type="spellEnd"/>
            <w:r w:rsidR="00690F5D" w:rsidRPr="00690F5D">
              <w:rPr>
                <w:rFonts w:cs="Arial"/>
                <w:color w:val="000000"/>
                <w:sz w:val="16"/>
                <w:szCs w:val="16"/>
              </w:rPr>
              <w:t xml:space="preserve"> </w:t>
            </w:r>
            <w:proofErr w:type="spellStart"/>
            <w:r w:rsidR="00690F5D" w:rsidRPr="00690F5D">
              <w:rPr>
                <w:rFonts w:cs="Arial"/>
                <w:color w:val="000000"/>
                <w:sz w:val="16"/>
                <w:szCs w:val="16"/>
              </w:rPr>
              <w:t>assurance</w:t>
            </w:r>
            <w:proofErr w:type="spellEnd"/>
            <w:r w:rsidR="00690F5D" w:rsidRPr="00690F5D">
              <w:rPr>
                <w:rFonts w:cs="Arial"/>
                <w:color w:val="000000"/>
                <w:sz w:val="16"/>
                <w:szCs w:val="16"/>
              </w:rPr>
              <w:t xml:space="preserve"> </w:t>
            </w:r>
            <w:proofErr w:type="spellStart"/>
            <w:r w:rsidR="00690F5D" w:rsidRPr="00690F5D">
              <w:rPr>
                <w:rFonts w:cs="Arial"/>
                <w:color w:val="000000"/>
                <w:sz w:val="16"/>
                <w:szCs w:val="16"/>
              </w:rPr>
              <w:t>level</w:t>
            </w:r>
            <w:proofErr w:type="spellEnd"/>
            <w:r w:rsidR="00690F5D" w:rsidRPr="00690F5D">
              <w:rPr>
                <w:rFonts w:cs="Arial"/>
                <w:color w:val="000000"/>
                <w:sz w:val="16"/>
                <w:szCs w:val="16"/>
              </w:rPr>
              <w:t xml:space="preserve"> (SAL) της τάξεως 10-6.Να μην περιέχουν </w:t>
            </w:r>
            <w:proofErr w:type="spellStart"/>
            <w:r w:rsidR="00690F5D" w:rsidRPr="00690F5D">
              <w:rPr>
                <w:rFonts w:cs="Arial"/>
                <w:color w:val="000000"/>
                <w:sz w:val="16"/>
                <w:szCs w:val="16"/>
              </w:rPr>
              <w:t>Latex</w:t>
            </w:r>
            <w:proofErr w:type="spellEnd"/>
            <w:r w:rsidR="00690F5D" w:rsidRPr="00690F5D">
              <w:rPr>
                <w:rFonts w:cs="Arial"/>
                <w:color w:val="000000"/>
                <w:sz w:val="16"/>
                <w:szCs w:val="16"/>
              </w:rPr>
              <w:t xml:space="preserve">, </w:t>
            </w:r>
            <w:proofErr w:type="spellStart"/>
            <w:r w:rsidR="00690F5D" w:rsidRPr="00690F5D">
              <w:rPr>
                <w:rFonts w:cs="Arial"/>
                <w:color w:val="000000"/>
                <w:sz w:val="16"/>
                <w:szCs w:val="16"/>
              </w:rPr>
              <w:t>Dry</w:t>
            </w:r>
            <w:proofErr w:type="spellEnd"/>
            <w:r w:rsidR="00690F5D" w:rsidRPr="00690F5D">
              <w:rPr>
                <w:rFonts w:cs="Arial"/>
                <w:color w:val="000000"/>
                <w:sz w:val="16"/>
                <w:szCs w:val="16"/>
              </w:rPr>
              <w:t xml:space="preserve"> </w:t>
            </w:r>
            <w:proofErr w:type="spellStart"/>
            <w:r w:rsidR="00690F5D" w:rsidRPr="00690F5D">
              <w:rPr>
                <w:rFonts w:cs="Arial"/>
                <w:color w:val="000000"/>
                <w:sz w:val="16"/>
                <w:szCs w:val="16"/>
              </w:rPr>
              <w:t>Natural</w:t>
            </w:r>
            <w:proofErr w:type="spellEnd"/>
            <w:r w:rsidR="00690F5D" w:rsidRPr="00690F5D">
              <w:rPr>
                <w:rFonts w:cs="Arial"/>
                <w:color w:val="000000"/>
                <w:sz w:val="16"/>
                <w:szCs w:val="16"/>
              </w:rPr>
              <w:t xml:space="preserve"> </w:t>
            </w:r>
            <w:proofErr w:type="spellStart"/>
            <w:r w:rsidR="00690F5D" w:rsidRPr="00690F5D">
              <w:rPr>
                <w:rFonts w:cs="Arial"/>
                <w:color w:val="000000"/>
                <w:sz w:val="16"/>
                <w:szCs w:val="16"/>
              </w:rPr>
              <w:t>Rubber</w:t>
            </w:r>
            <w:proofErr w:type="spellEnd"/>
            <w:r w:rsidR="00690F5D" w:rsidRPr="00690F5D">
              <w:rPr>
                <w:rFonts w:cs="Arial"/>
                <w:color w:val="000000"/>
                <w:sz w:val="16"/>
                <w:szCs w:val="16"/>
              </w:rPr>
              <w:t xml:space="preserve">, </w:t>
            </w:r>
            <w:proofErr w:type="spellStart"/>
            <w:r w:rsidR="00690F5D" w:rsidRPr="00690F5D">
              <w:rPr>
                <w:rFonts w:cs="Arial"/>
                <w:color w:val="000000"/>
                <w:sz w:val="16"/>
                <w:szCs w:val="16"/>
              </w:rPr>
              <w:t>Phthalates</w:t>
            </w:r>
            <w:proofErr w:type="spellEnd"/>
            <w:r w:rsidR="00690F5D" w:rsidRPr="00690F5D">
              <w:rPr>
                <w:rFonts w:cs="Arial"/>
                <w:color w:val="000000"/>
                <w:sz w:val="16"/>
                <w:szCs w:val="16"/>
              </w:rPr>
              <w:t xml:space="preserve"> Διαστάσεων 16Χ100mm, με πιεστό πώμα ασφαλείας, στεγανής εφαρμογής και εύκολης διάτρησης, που να καλύπτει εξωτερικά το φιαλίδιο κατά 2cm. Χωρητικότητας 10ml με αντιπηκτικό 1,8mg/ml EDTA K2. Συσκευασία των 100σωλ</w:t>
            </w:r>
          </w:p>
        </w:tc>
        <w:tc>
          <w:tcPr>
            <w:tcW w:w="1555" w:type="dxa"/>
          </w:tcPr>
          <w:p w:rsidR="00FA1F89" w:rsidRPr="00CA5642" w:rsidRDefault="00FA1F89" w:rsidP="00F41318">
            <w:pPr>
              <w:pStyle w:val="normalwithoutspacing"/>
              <w:spacing w:before="57" w:after="57"/>
              <w:rPr>
                <w:rFonts w:asciiTheme="minorHAnsi" w:hAnsiTheme="minorHAnsi" w:cstheme="minorHAnsi"/>
                <w:b/>
                <w:sz w:val="18"/>
                <w:szCs w:val="18"/>
              </w:rPr>
            </w:pPr>
            <w:r w:rsidRPr="00CA5642">
              <w:rPr>
                <w:rFonts w:asciiTheme="minorHAnsi" w:hAnsiTheme="minorHAnsi" w:cstheme="minorHAnsi"/>
                <w:b/>
                <w:sz w:val="18"/>
                <w:szCs w:val="18"/>
              </w:rPr>
              <w:t>NAI</w:t>
            </w:r>
          </w:p>
        </w:tc>
        <w:tc>
          <w:tcPr>
            <w:tcW w:w="1696" w:type="dxa"/>
          </w:tcPr>
          <w:p w:rsidR="00FA1F89" w:rsidRPr="00CA5642" w:rsidRDefault="00FA1F89" w:rsidP="00F41318">
            <w:pPr>
              <w:pStyle w:val="normalwithoutspacing"/>
              <w:spacing w:before="57" w:after="57"/>
              <w:rPr>
                <w:rFonts w:asciiTheme="minorHAnsi" w:hAnsiTheme="minorHAnsi" w:cstheme="minorHAnsi"/>
                <w:i/>
                <w:color w:val="FF0000"/>
                <w:sz w:val="18"/>
                <w:szCs w:val="18"/>
              </w:rPr>
            </w:pPr>
          </w:p>
        </w:tc>
        <w:tc>
          <w:tcPr>
            <w:tcW w:w="1665" w:type="dxa"/>
          </w:tcPr>
          <w:p w:rsidR="00FA1F89" w:rsidRPr="00CA5642" w:rsidRDefault="00FA1F89" w:rsidP="00F41318">
            <w:pPr>
              <w:pStyle w:val="normalwithoutspacing"/>
              <w:spacing w:before="57" w:after="57"/>
              <w:rPr>
                <w:rFonts w:asciiTheme="minorHAnsi" w:hAnsiTheme="minorHAnsi" w:cstheme="minorHAnsi"/>
                <w:i/>
                <w:color w:val="FF0000"/>
                <w:sz w:val="18"/>
                <w:szCs w:val="18"/>
              </w:rPr>
            </w:pPr>
          </w:p>
        </w:tc>
      </w:tr>
      <w:tr w:rsidR="00FA1F89" w:rsidRPr="00CA5642" w:rsidTr="00690F5D">
        <w:trPr>
          <w:trHeight w:val="3010"/>
        </w:trPr>
        <w:tc>
          <w:tcPr>
            <w:tcW w:w="578" w:type="dxa"/>
          </w:tcPr>
          <w:p w:rsidR="00FA1F89" w:rsidRPr="00CA5642" w:rsidRDefault="00FA1F89" w:rsidP="00F41318">
            <w:pPr>
              <w:pStyle w:val="normalwithoutspacing"/>
              <w:spacing w:before="57" w:after="57"/>
              <w:rPr>
                <w:rFonts w:asciiTheme="minorHAnsi" w:hAnsiTheme="minorHAnsi" w:cstheme="minorHAnsi"/>
                <w:i/>
                <w:color w:val="FF0000"/>
                <w:sz w:val="18"/>
                <w:szCs w:val="18"/>
                <w:lang w:val="en-US"/>
              </w:rPr>
            </w:pPr>
            <w:r w:rsidRPr="00CA5642">
              <w:rPr>
                <w:rFonts w:asciiTheme="minorHAnsi" w:hAnsiTheme="minorHAnsi" w:cstheme="minorHAnsi"/>
                <w:sz w:val="18"/>
                <w:szCs w:val="18"/>
              </w:rPr>
              <w:t>5</w:t>
            </w:r>
          </w:p>
        </w:tc>
        <w:tc>
          <w:tcPr>
            <w:tcW w:w="4360" w:type="dxa"/>
          </w:tcPr>
          <w:p w:rsidR="00690F5D" w:rsidRPr="00690F5D" w:rsidRDefault="00FA1F89" w:rsidP="00690F5D">
            <w:pPr>
              <w:jc w:val="both"/>
              <w:rPr>
                <w:rFonts w:cs="Arial"/>
                <w:sz w:val="16"/>
                <w:szCs w:val="16"/>
              </w:rPr>
            </w:pPr>
            <w:r w:rsidRPr="00F72CC7">
              <w:rPr>
                <w:rFonts w:asciiTheme="minorHAnsi" w:hAnsiTheme="minorHAnsi" w:cstheme="minorHAnsi"/>
                <w:szCs w:val="18"/>
                <w:lang w:eastAsia="zh-CN"/>
              </w:rPr>
              <w:t xml:space="preserve"> </w:t>
            </w:r>
            <w:r>
              <w:rPr>
                <w:rFonts w:cs="Calibri"/>
                <w:sz w:val="20"/>
              </w:rPr>
              <w:t xml:space="preserve"> </w:t>
            </w:r>
            <w:r w:rsidRPr="00F72CC7">
              <w:rPr>
                <w:rFonts w:cs="Calibri"/>
                <w:sz w:val="20"/>
              </w:rPr>
              <w:t xml:space="preserve">     </w:t>
            </w:r>
            <w:r w:rsidRPr="00690F5D">
              <w:rPr>
                <w:rFonts w:asciiTheme="minorHAnsi" w:hAnsiTheme="minorHAnsi" w:cstheme="minorHAnsi"/>
                <w:sz w:val="16"/>
                <w:szCs w:val="16"/>
              </w:rPr>
              <w:t>.</w:t>
            </w:r>
            <w:r w:rsidR="00690F5D" w:rsidRPr="00690F5D">
              <w:rPr>
                <w:rFonts w:cs="Arial"/>
                <w:color w:val="000000"/>
                <w:sz w:val="16"/>
                <w:szCs w:val="16"/>
              </w:rPr>
              <w:t xml:space="preserve"> ΣΕΤ ΣΥΛΛΟΓΗΣ ΑΙΜΑΤΟΣ ΥΠΟ ΚΕΝΟ. Σωληνάρια βιοχημικών προσδιορισμών, κενού, αποστειρωμένα, συνθετικά, με επιταχυντή πήξεως και </w:t>
            </w:r>
            <w:proofErr w:type="spellStart"/>
            <w:r w:rsidR="00690F5D" w:rsidRPr="00690F5D">
              <w:rPr>
                <w:rFonts w:cs="Arial"/>
                <w:color w:val="000000"/>
                <w:sz w:val="16"/>
                <w:szCs w:val="16"/>
              </w:rPr>
              <w:t>gel</w:t>
            </w:r>
            <w:proofErr w:type="spellEnd"/>
            <w:r w:rsidR="00690F5D" w:rsidRPr="00690F5D">
              <w:rPr>
                <w:rFonts w:cs="Arial"/>
                <w:color w:val="000000"/>
                <w:sz w:val="16"/>
                <w:szCs w:val="16"/>
              </w:rPr>
              <w:t xml:space="preserve"> διαχωρισμού σε μορφή όνυχα (πεπλατυσμένη επιφάνεια) για καλύτερο και γρηγορότερο διαχωρισμό, με ένδειξη πλήρωσης και ετικέτα για στοιχεία ασθενούς, να αναγράφεται το CE, LOT παραγωγής, REF, ή μέθοδος αποστείρωσης η χώρα προέλευσης και  η ημερομηνία λήξης. Διαστάσεων 13Χ100mm, με πιεστό πώμα ασφαλείας, στεγανής εφαρμογής και εύκολης διάτρησης, που να καλύπτει εξωτερικά το σωληνάριο κατά 2cm. Χωρητικότητας 5ml</w:t>
            </w:r>
          </w:p>
          <w:p w:rsidR="00FA1F89" w:rsidRPr="00B83E5C" w:rsidRDefault="00FA1F89" w:rsidP="00690F5D">
            <w:pPr>
              <w:pStyle w:val="2"/>
              <w:rPr>
                <w:rFonts w:asciiTheme="minorHAnsi" w:hAnsiTheme="minorHAnsi" w:cstheme="minorHAnsi"/>
                <w:sz w:val="18"/>
                <w:szCs w:val="18"/>
                <w:lang w:val="el-GR" w:eastAsia="zh-CN"/>
              </w:rPr>
            </w:pPr>
          </w:p>
        </w:tc>
        <w:tc>
          <w:tcPr>
            <w:tcW w:w="1555" w:type="dxa"/>
          </w:tcPr>
          <w:p w:rsidR="00FA1F89" w:rsidRPr="00CA5642" w:rsidRDefault="00FA1F89" w:rsidP="00F41318">
            <w:pPr>
              <w:pStyle w:val="normalwithoutspacing"/>
              <w:spacing w:before="57" w:after="57"/>
              <w:rPr>
                <w:rFonts w:asciiTheme="minorHAnsi" w:hAnsiTheme="minorHAnsi" w:cstheme="minorHAnsi"/>
                <w:i/>
                <w:color w:val="FF0000"/>
                <w:sz w:val="18"/>
                <w:szCs w:val="18"/>
                <w:lang w:val="en-US"/>
              </w:rPr>
            </w:pPr>
            <w:r w:rsidRPr="00CA5642">
              <w:rPr>
                <w:rFonts w:asciiTheme="minorHAnsi" w:hAnsiTheme="minorHAnsi" w:cstheme="minorHAnsi"/>
                <w:b/>
                <w:sz w:val="18"/>
                <w:szCs w:val="18"/>
              </w:rPr>
              <w:t>NAI</w:t>
            </w:r>
          </w:p>
        </w:tc>
        <w:tc>
          <w:tcPr>
            <w:tcW w:w="1696" w:type="dxa"/>
          </w:tcPr>
          <w:p w:rsidR="00FA1F89" w:rsidRPr="00CA5642" w:rsidRDefault="00FA1F89" w:rsidP="00F41318">
            <w:pPr>
              <w:pStyle w:val="normalwithoutspacing"/>
              <w:spacing w:before="57" w:after="57"/>
              <w:rPr>
                <w:rFonts w:asciiTheme="minorHAnsi" w:hAnsiTheme="minorHAnsi" w:cstheme="minorHAnsi"/>
                <w:i/>
                <w:color w:val="FF0000"/>
                <w:sz w:val="18"/>
                <w:szCs w:val="18"/>
              </w:rPr>
            </w:pPr>
          </w:p>
        </w:tc>
        <w:tc>
          <w:tcPr>
            <w:tcW w:w="1665" w:type="dxa"/>
          </w:tcPr>
          <w:p w:rsidR="00FA1F89" w:rsidRPr="00CA5642" w:rsidRDefault="00FA1F89" w:rsidP="00F41318">
            <w:pPr>
              <w:pStyle w:val="normalwithoutspacing"/>
              <w:spacing w:before="57" w:after="57"/>
              <w:rPr>
                <w:rFonts w:asciiTheme="minorHAnsi" w:hAnsiTheme="minorHAnsi" w:cstheme="minorHAnsi"/>
                <w:i/>
                <w:color w:val="FF0000"/>
                <w:sz w:val="18"/>
                <w:szCs w:val="18"/>
              </w:rPr>
            </w:pPr>
          </w:p>
        </w:tc>
      </w:tr>
      <w:tr w:rsidR="00FA1F89" w:rsidRPr="00CA5642" w:rsidTr="00690F5D">
        <w:trPr>
          <w:trHeight w:val="2897"/>
        </w:trPr>
        <w:tc>
          <w:tcPr>
            <w:tcW w:w="578" w:type="dxa"/>
          </w:tcPr>
          <w:p w:rsidR="00FA1F89" w:rsidRPr="00F72CC7" w:rsidRDefault="00FA1F89" w:rsidP="00F41318">
            <w:pPr>
              <w:pStyle w:val="normalwithoutspacing"/>
              <w:spacing w:before="57" w:after="57"/>
              <w:rPr>
                <w:rFonts w:asciiTheme="minorHAnsi" w:hAnsiTheme="minorHAnsi" w:cstheme="minorHAnsi"/>
                <w:sz w:val="18"/>
                <w:szCs w:val="18"/>
                <w:lang w:val="en-US"/>
              </w:rPr>
            </w:pPr>
            <w:r>
              <w:rPr>
                <w:rFonts w:asciiTheme="minorHAnsi" w:hAnsiTheme="minorHAnsi" w:cstheme="minorHAnsi"/>
                <w:sz w:val="18"/>
                <w:szCs w:val="18"/>
                <w:lang w:val="en-US"/>
              </w:rPr>
              <w:t>6</w:t>
            </w:r>
          </w:p>
        </w:tc>
        <w:tc>
          <w:tcPr>
            <w:tcW w:w="4360" w:type="dxa"/>
          </w:tcPr>
          <w:p w:rsidR="00690F5D" w:rsidRPr="00690F5D" w:rsidRDefault="00FA1F89" w:rsidP="00690F5D">
            <w:pPr>
              <w:jc w:val="center"/>
              <w:rPr>
                <w:rFonts w:cs="Arial"/>
                <w:sz w:val="16"/>
                <w:szCs w:val="16"/>
              </w:rPr>
            </w:pPr>
            <w:r>
              <w:rPr>
                <w:rFonts w:cs="Calibri"/>
                <w:sz w:val="20"/>
              </w:rPr>
              <w:t xml:space="preserve"> </w:t>
            </w:r>
            <w:r w:rsidR="00690F5D" w:rsidRPr="00690F5D">
              <w:rPr>
                <w:rFonts w:cs="Arial"/>
                <w:color w:val="000000"/>
                <w:sz w:val="16"/>
                <w:szCs w:val="16"/>
              </w:rPr>
              <w:t xml:space="preserve">ΣΕΤ ΣΥΛΛΟΓΗΣ ΑΙΜΑΤΟΣ ΥΠΟ ΚΕΝΟ. Σωληνάρια βιοχημικών προσδιορισμών, κενού, αποστειρωμένα, συνθετικά, με επιταχυντή πήξεως και </w:t>
            </w:r>
            <w:proofErr w:type="spellStart"/>
            <w:r w:rsidR="00690F5D" w:rsidRPr="00690F5D">
              <w:rPr>
                <w:rFonts w:cs="Arial"/>
                <w:color w:val="000000"/>
                <w:sz w:val="16"/>
                <w:szCs w:val="16"/>
              </w:rPr>
              <w:t>gel</w:t>
            </w:r>
            <w:proofErr w:type="spellEnd"/>
            <w:r w:rsidR="00690F5D" w:rsidRPr="00690F5D">
              <w:rPr>
                <w:rFonts w:cs="Arial"/>
                <w:color w:val="000000"/>
                <w:sz w:val="16"/>
                <w:szCs w:val="16"/>
              </w:rPr>
              <w:t xml:space="preserve"> διαχωρισμού σε μορφή όνυχα (πεπλατυσμένη επιφάνεια) για καλύτερο και γρηγορότερο διαχωρισμό, με ένδειξη πλήρωσης και ετικέτα για στοιχεία ασθενούς, να αναγράφεται το CE, LOT παραγωγής, REF, ή μέθοδος αποστείρωσης η χώρα προέλευσης και  η ημερομηνία λήξης. Διαστάσεων 13Χ75mm, με πιεστό πώμα ασφαλείας, στεγανής εφαρμογής και εύκολης διάτρησης, που να καλύπτει εξωτερικά το σωληνάριο κατά 2cm. Χωρητικότητας 3,5ml</w:t>
            </w:r>
          </w:p>
          <w:p w:rsidR="00FA1F89" w:rsidRPr="00F72CC7" w:rsidRDefault="00FA1F89" w:rsidP="00F41318">
            <w:pPr>
              <w:pStyle w:val="2"/>
              <w:rPr>
                <w:rFonts w:asciiTheme="minorHAnsi" w:hAnsiTheme="minorHAnsi" w:cstheme="minorHAnsi"/>
                <w:sz w:val="18"/>
                <w:szCs w:val="18"/>
                <w:lang w:val="el-GR" w:eastAsia="zh-CN"/>
              </w:rPr>
            </w:pPr>
          </w:p>
        </w:tc>
        <w:tc>
          <w:tcPr>
            <w:tcW w:w="1555" w:type="dxa"/>
          </w:tcPr>
          <w:p w:rsidR="00FA1F89" w:rsidRPr="00F72CC7" w:rsidRDefault="00FA1F89" w:rsidP="00F41318">
            <w:pPr>
              <w:pStyle w:val="normalwithoutspacing"/>
              <w:spacing w:before="57" w:after="57"/>
              <w:rPr>
                <w:rFonts w:asciiTheme="minorHAnsi" w:hAnsiTheme="minorHAnsi" w:cstheme="minorHAnsi"/>
                <w:b/>
                <w:sz w:val="18"/>
                <w:szCs w:val="18"/>
                <w:lang w:val="en-US"/>
              </w:rPr>
            </w:pPr>
            <w:r>
              <w:rPr>
                <w:rFonts w:asciiTheme="minorHAnsi" w:hAnsiTheme="minorHAnsi" w:cstheme="minorHAnsi"/>
                <w:b/>
                <w:sz w:val="18"/>
                <w:szCs w:val="18"/>
                <w:lang w:val="en-US"/>
              </w:rPr>
              <w:t xml:space="preserve">NAI </w:t>
            </w:r>
          </w:p>
        </w:tc>
        <w:tc>
          <w:tcPr>
            <w:tcW w:w="1696" w:type="dxa"/>
          </w:tcPr>
          <w:p w:rsidR="00FA1F89" w:rsidRPr="00CA5642" w:rsidRDefault="00FA1F89" w:rsidP="00F41318">
            <w:pPr>
              <w:pStyle w:val="normalwithoutspacing"/>
              <w:spacing w:before="57" w:after="57"/>
              <w:rPr>
                <w:rFonts w:asciiTheme="minorHAnsi" w:hAnsiTheme="minorHAnsi" w:cstheme="minorHAnsi"/>
                <w:i/>
                <w:color w:val="FF0000"/>
                <w:sz w:val="18"/>
                <w:szCs w:val="18"/>
              </w:rPr>
            </w:pPr>
          </w:p>
        </w:tc>
        <w:tc>
          <w:tcPr>
            <w:tcW w:w="1665" w:type="dxa"/>
          </w:tcPr>
          <w:p w:rsidR="00FA1F89" w:rsidRPr="00CA5642" w:rsidRDefault="00FA1F89" w:rsidP="00F41318">
            <w:pPr>
              <w:pStyle w:val="normalwithoutspacing"/>
              <w:spacing w:before="57" w:after="57"/>
              <w:rPr>
                <w:rFonts w:asciiTheme="minorHAnsi" w:hAnsiTheme="minorHAnsi" w:cstheme="minorHAnsi"/>
                <w:i/>
                <w:color w:val="FF0000"/>
                <w:sz w:val="18"/>
                <w:szCs w:val="18"/>
              </w:rPr>
            </w:pPr>
          </w:p>
        </w:tc>
      </w:tr>
      <w:tr w:rsidR="00FA1F89" w:rsidRPr="00CA5642" w:rsidTr="00690F5D">
        <w:trPr>
          <w:trHeight w:val="3181"/>
        </w:trPr>
        <w:tc>
          <w:tcPr>
            <w:tcW w:w="578" w:type="dxa"/>
          </w:tcPr>
          <w:p w:rsidR="00FA1F89" w:rsidRPr="00F72CC7" w:rsidRDefault="00FA1F89" w:rsidP="00F41318">
            <w:pPr>
              <w:pStyle w:val="normalwithoutspacing"/>
              <w:spacing w:before="57" w:after="57"/>
              <w:rPr>
                <w:rFonts w:asciiTheme="minorHAnsi" w:hAnsiTheme="minorHAnsi" w:cstheme="minorHAnsi"/>
                <w:sz w:val="18"/>
                <w:szCs w:val="18"/>
                <w:lang w:val="en-US"/>
              </w:rPr>
            </w:pPr>
            <w:r>
              <w:rPr>
                <w:rFonts w:asciiTheme="minorHAnsi" w:hAnsiTheme="minorHAnsi" w:cstheme="minorHAnsi"/>
                <w:sz w:val="18"/>
                <w:szCs w:val="18"/>
                <w:lang w:val="en-US"/>
              </w:rPr>
              <w:t>7</w:t>
            </w:r>
          </w:p>
        </w:tc>
        <w:tc>
          <w:tcPr>
            <w:tcW w:w="4360" w:type="dxa"/>
          </w:tcPr>
          <w:p w:rsidR="00690F5D" w:rsidRPr="00690F5D" w:rsidRDefault="00FA1F89" w:rsidP="00690F5D">
            <w:pPr>
              <w:jc w:val="center"/>
              <w:rPr>
                <w:rFonts w:cs="Arial"/>
                <w:sz w:val="16"/>
                <w:szCs w:val="16"/>
              </w:rPr>
            </w:pPr>
            <w:r w:rsidRPr="007C3C52">
              <w:rPr>
                <w:rFonts w:cs="Calibri"/>
                <w:szCs w:val="18"/>
              </w:rPr>
              <w:t xml:space="preserve">        </w:t>
            </w:r>
            <w:r w:rsidR="00690F5D" w:rsidRPr="00690F5D">
              <w:rPr>
                <w:rFonts w:cs="Arial"/>
                <w:color w:val="000000"/>
                <w:sz w:val="16"/>
                <w:szCs w:val="16"/>
              </w:rPr>
              <w:t xml:space="preserve">ΣΕΤ ΣΥΛΛΟΓΗΣ ΑΙΜΑΤΟΣ ΥΠΟ ΚΕΝΟ. Σωληνάρια βιοχημικών προσδιορισμών, κενού, αποστειρωμένα, συνθετικά, με επιταχυντή πήξεως και </w:t>
            </w:r>
            <w:proofErr w:type="spellStart"/>
            <w:r w:rsidR="00690F5D" w:rsidRPr="00690F5D">
              <w:rPr>
                <w:rFonts w:cs="Arial"/>
                <w:color w:val="000000"/>
                <w:sz w:val="16"/>
                <w:szCs w:val="16"/>
              </w:rPr>
              <w:t>gel</w:t>
            </w:r>
            <w:proofErr w:type="spellEnd"/>
            <w:r w:rsidR="00690F5D" w:rsidRPr="00690F5D">
              <w:rPr>
                <w:rFonts w:cs="Arial"/>
                <w:color w:val="000000"/>
                <w:sz w:val="16"/>
                <w:szCs w:val="16"/>
              </w:rPr>
              <w:t xml:space="preserve"> διαχωρισμού σε μορφή όνυχα (πεπλατυσμένη επιφάνεια) για καλύτερο και γρηγορότερο διαχωρισμό, με ένδειξη πλήρωσης και ετικέτα για στοιχεία ασθενούς, να αναγράφεται το CE, LOT παραγωγής, REF, ή μέθοδος αποστείρωσης η χώρα προέλευσης και  η ημερομηνία λήξης. Διαστάσεων 16Χ100mm, με πιεστό πώμα ασφαλείας, στεγανής εφαρμογής και εύκολης διάτρησης, που να καλύπτει εξωτερικά το σωληνάριο κατά 2cm. Χωρητικότητας 8,5ml</w:t>
            </w:r>
          </w:p>
          <w:p w:rsidR="00FA1F89" w:rsidRPr="007C3C52" w:rsidRDefault="00FA1F89" w:rsidP="00690F5D">
            <w:pPr>
              <w:pStyle w:val="2"/>
              <w:rPr>
                <w:rFonts w:ascii="Calibri" w:hAnsi="Calibri" w:cs="Calibri"/>
                <w:sz w:val="18"/>
                <w:szCs w:val="18"/>
                <w:lang w:val="el-GR" w:eastAsia="zh-CN"/>
              </w:rPr>
            </w:pPr>
          </w:p>
        </w:tc>
        <w:tc>
          <w:tcPr>
            <w:tcW w:w="1555" w:type="dxa"/>
          </w:tcPr>
          <w:p w:rsidR="00FA1F89" w:rsidRPr="00F72CC7" w:rsidRDefault="00FA1F89" w:rsidP="00F41318">
            <w:pPr>
              <w:pStyle w:val="normalwithoutspacing"/>
              <w:spacing w:before="57" w:after="57"/>
              <w:rPr>
                <w:rFonts w:asciiTheme="minorHAnsi" w:hAnsiTheme="minorHAnsi" w:cstheme="minorHAnsi"/>
                <w:b/>
                <w:sz w:val="18"/>
                <w:szCs w:val="18"/>
                <w:lang w:val="en-US"/>
              </w:rPr>
            </w:pPr>
            <w:r>
              <w:rPr>
                <w:rFonts w:asciiTheme="minorHAnsi" w:hAnsiTheme="minorHAnsi" w:cstheme="minorHAnsi"/>
                <w:b/>
                <w:sz w:val="18"/>
                <w:szCs w:val="18"/>
                <w:lang w:val="en-US"/>
              </w:rPr>
              <w:t>NAI</w:t>
            </w:r>
          </w:p>
        </w:tc>
        <w:tc>
          <w:tcPr>
            <w:tcW w:w="1696" w:type="dxa"/>
          </w:tcPr>
          <w:p w:rsidR="00FA1F89" w:rsidRPr="00CA5642" w:rsidRDefault="00FA1F89" w:rsidP="00F41318">
            <w:pPr>
              <w:pStyle w:val="normalwithoutspacing"/>
              <w:spacing w:before="57" w:after="57"/>
              <w:rPr>
                <w:rFonts w:asciiTheme="minorHAnsi" w:hAnsiTheme="minorHAnsi" w:cstheme="minorHAnsi"/>
                <w:i/>
                <w:color w:val="FF0000"/>
                <w:sz w:val="18"/>
                <w:szCs w:val="18"/>
              </w:rPr>
            </w:pPr>
          </w:p>
        </w:tc>
        <w:tc>
          <w:tcPr>
            <w:tcW w:w="1665" w:type="dxa"/>
          </w:tcPr>
          <w:p w:rsidR="00FA1F89" w:rsidRPr="00CA5642" w:rsidRDefault="00FA1F89" w:rsidP="00F41318">
            <w:pPr>
              <w:pStyle w:val="normalwithoutspacing"/>
              <w:spacing w:before="57" w:after="57"/>
              <w:rPr>
                <w:rFonts w:asciiTheme="minorHAnsi" w:hAnsiTheme="minorHAnsi" w:cstheme="minorHAnsi"/>
                <w:i/>
                <w:color w:val="FF0000"/>
                <w:sz w:val="18"/>
                <w:szCs w:val="18"/>
              </w:rPr>
            </w:pPr>
          </w:p>
        </w:tc>
      </w:tr>
      <w:tr w:rsidR="00FA1F89" w:rsidRPr="00CA5642" w:rsidTr="00690F5D">
        <w:trPr>
          <w:trHeight w:val="2531"/>
        </w:trPr>
        <w:tc>
          <w:tcPr>
            <w:tcW w:w="578" w:type="dxa"/>
          </w:tcPr>
          <w:p w:rsidR="00FA1F89" w:rsidRDefault="00FA1F89" w:rsidP="00F41318">
            <w:pPr>
              <w:pStyle w:val="normalwithoutspacing"/>
              <w:spacing w:before="57" w:after="57"/>
              <w:rPr>
                <w:rFonts w:asciiTheme="minorHAnsi" w:hAnsiTheme="minorHAnsi" w:cstheme="minorHAnsi"/>
                <w:sz w:val="18"/>
                <w:szCs w:val="18"/>
                <w:lang w:val="en-US"/>
              </w:rPr>
            </w:pPr>
            <w:r>
              <w:rPr>
                <w:rFonts w:asciiTheme="minorHAnsi" w:hAnsiTheme="minorHAnsi" w:cstheme="minorHAnsi"/>
                <w:sz w:val="18"/>
                <w:szCs w:val="18"/>
                <w:lang w:val="en-US"/>
              </w:rPr>
              <w:t>8</w:t>
            </w:r>
          </w:p>
        </w:tc>
        <w:tc>
          <w:tcPr>
            <w:tcW w:w="4360" w:type="dxa"/>
          </w:tcPr>
          <w:p w:rsidR="00690F5D" w:rsidRPr="00690F5D" w:rsidRDefault="00FA1F89" w:rsidP="00690F5D">
            <w:pPr>
              <w:jc w:val="center"/>
              <w:rPr>
                <w:rFonts w:cs="Arial"/>
                <w:sz w:val="16"/>
                <w:szCs w:val="16"/>
              </w:rPr>
            </w:pPr>
            <w:r w:rsidRPr="00690F5D">
              <w:rPr>
                <w:rFonts w:cs="Calibri"/>
                <w:sz w:val="16"/>
                <w:szCs w:val="16"/>
              </w:rPr>
              <w:t xml:space="preserve">        </w:t>
            </w:r>
            <w:r w:rsidR="00690F5D" w:rsidRPr="00690F5D">
              <w:rPr>
                <w:rFonts w:cs="Arial"/>
                <w:color w:val="000000"/>
                <w:sz w:val="16"/>
                <w:szCs w:val="16"/>
              </w:rPr>
              <w:t xml:space="preserve">ΣΕΤ ΣΥΛΛΟΓΗΣ ΑΙΜΑΤΟΣ ΥΠΟ ΚΕΝΟ, Φιαλίδια βιοχημικών προσδιορισμών, κενού, αποστειρωμένα, συνθετικά, με επιταχυντή πήξεως  χωρίς </w:t>
            </w:r>
            <w:proofErr w:type="spellStart"/>
            <w:r w:rsidR="00690F5D" w:rsidRPr="00690F5D">
              <w:rPr>
                <w:rFonts w:cs="Arial"/>
                <w:color w:val="000000"/>
                <w:sz w:val="16"/>
                <w:szCs w:val="16"/>
              </w:rPr>
              <w:t>gel</w:t>
            </w:r>
            <w:proofErr w:type="spellEnd"/>
            <w:r w:rsidR="00690F5D" w:rsidRPr="00690F5D">
              <w:rPr>
                <w:rFonts w:cs="Arial"/>
                <w:color w:val="000000"/>
                <w:sz w:val="16"/>
                <w:szCs w:val="16"/>
              </w:rPr>
              <w:t xml:space="preserve"> διαχωρισμού, με ένδειξη πλήρωσης και ετικέτα για στοιχεία ασθενούς, να αναγράφεται το CE, LOT παραγωγής, REF, η μέθοδος αποστείρωσης, η ημερομηνία λήξης.     Διαστάσεων 13Χ75mm, με πιεστό πώμα ασφαλείας, στεγανής εφαρμογής και εύκολης διάτρησης, που να καλύπτει εξωτερικά το φιαλίδιο κατά 2cm. χωρητικότητας 4ml</w:t>
            </w:r>
          </w:p>
          <w:p w:rsidR="00FA1F89" w:rsidRPr="007C3C52" w:rsidRDefault="00FA1F89" w:rsidP="00690F5D">
            <w:pPr>
              <w:pStyle w:val="2"/>
              <w:rPr>
                <w:rFonts w:ascii="Calibri" w:hAnsi="Calibri" w:cs="Calibri"/>
                <w:sz w:val="18"/>
                <w:szCs w:val="18"/>
                <w:lang w:val="el-GR"/>
              </w:rPr>
            </w:pPr>
          </w:p>
        </w:tc>
        <w:tc>
          <w:tcPr>
            <w:tcW w:w="1555" w:type="dxa"/>
          </w:tcPr>
          <w:p w:rsidR="00FA1F89" w:rsidRPr="00F72CC7" w:rsidRDefault="00FA1F89" w:rsidP="00F41318">
            <w:pPr>
              <w:pStyle w:val="normalwithoutspacing"/>
              <w:spacing w:before="57" w:after="57"/>
              <w:rPr>
                <w:rFonts w:asciiTheme="minorHAnsi" w:hAnsiTheme="minorHAnsi" w:cstheme="minorHAnsi"/>
                <w:b/>
                <w:sz w:val="18"/>
                <w:szCs w:val="18"/>
                <w:lang w:val="en-US"/>
              </w:rPr>
            </w:pPr>
            <w:r>
              <w:rPr>
                <w:rFonts w:asciiTheme="minorHAnsi" w:hAnsiTheme="minorHAnsi" w:cstheme="minorHAnsi"/>
                <w:b/>
                <w:sz w:val="18"/>
                <w:szCs w:val="18"/>
                <w:lang w:val="en-US"/>
              </w:rPr>
              <w:t>NAI</w:t>
            </w:r>
          </w:p>
        </w:tc>
        <w:tc>
          <w:tcPr>
            <w:tcW w:w="1696" w:type="dxa"/>
          </w:tcPr>
          <w:p w:rsidR="00FA1F89" w:rsidRPr="00CA5642" w:rsidRDefault="00FA1F89" w:rsidP="00F41318">
            <w:pPr>
              <w:pStyle w:val="normalwithoutspacing"/>
              <w:spacing w:before="57" w:after="57"/>
              <w:rPr>
                <w:rFonts w:asciiTheme="minorHAnsi" w:hAnsiTheme="minorHAnsi" w:cstheme="minorHAnsi"/>
                <w:i/>
                <w:color w:val="FF0000"/>
                <w:sz w:val="18"/>
                <w:szCs w:val="18"/>
              </w:rPr>
            </w:pPr>
          </w:p>
        </w:tc>
        <w:tc>
          <w:tcPr>
            <w:tcW w:w="1665" w:type="dxa"/>
          </w:tcPr>
          <w:p w:rsidR="00FA1F89" w:rsidRPr="00CA5642" w:rsidRDefault="00FA1F89" w:rsidP="00F41318">
            <w:pPr>
              <w:pStyle w:val="normalwithoutspacing"/>
              <w:spacing w:before="57" w:after="57"/>
              <w:rPr>
                <w:rFonts w:asciiTheme="minorHAnsi" w:hAnsiTheme="minorHAnsi" w:cstheme="minorHAnsi"/>
                <w:i/>
                <w:color w:val="FF0000"/>
                <w:sz w:val="18"/>
                <w:szCs w:val="18"/>
              </w:rPr>
            </w:pPr>
          </w:p>
        </w:tc>
      </w:tr>
      <w:tr w:rsidR="00FA1F89" w:rsidRPr="00CA5642" w:rsidTr="00BA25CE">
        <w:trPr>
          <w:trHeight w:val="3181"/>
        </w:trPr>
        <w:tc>
          <w:tcPr>
            <w:tcW w:w="578" w:type="dxa"/>
          </w:tcPr>
          <w:p w:rsidR="00FA1F89" w:rsidRDefault="00FA1F89" w:rsidP="00F41318">
            <w:pPr>
              <w:pStyle w:val="normalwithoutspacing"/>
              <w:spacing w:before="57" w:after="57"/>
              <w:rPr>
                <w:rFonts w:asciiTheme="minorHAnsi" w:hAnsiTheme="minorHAnsi" w:cstheme="minorHAnsi"/>
                <w:sz w:val="18"/>
                <w:szCs w:val="18"/>
                <w:lang w:val="en-US"/>
              </w:rPr>
            </w:pPr>
            <w:r>
              <w:rPr>
                <w:rFonts w:asciiTheme="minorHAnsi" w:hAnsiTheme="minorHAnsi" w:cstheme="minorHAnsi"/>
                <w:sz w:val="18"/>
                <w:szCs w:val="18"/>
                <w:lang w:val="en-US"/>
              </w:rPr>
              <w:t>9</w:t>
            </w:r>
          </w:p>
        </w:tc>
        <w:tc>
          <w:tcPr>
            <w:tcW w:w="4360" w:type="dxa"/>
          </w:tcPr>
          <w:p w:rsidR="00BA25CE" w:rsidRPr="00BA25CE" w:rsidRDefault="00BA25CE" w:rsidP="00BA25CE">
            <w:pPr>
              <w:jc w:val="center"/>
              <w:rPr>
                <w:rFonts w:cs="Arial"/>
                <w:sz w:val="16"/>
                <w:szCs w:val="16"/>
              </w:rPr>
            </w:pPr>
            <w:r w:rsidRPr="00BA25CE">
              <w:rPr>
                <w:rFonts w:cs="Arial"/>
                <w:color w:val="000000"/>
                <w:sz w:val="16"/>
                <w:szCs w:val="16"/>
              </w:rPr>
              <w:t xml:space="preserve">ΣΕΤ ΣΥΛΛΟΓΗΣ ΑΙΜΑΤΟΣ ΥΠΟ ΚΕΝΟ, Σωληνάρια χρόνου προθρομβίνης, αποστειρωμένα, συνθετικά, διπλού τοιχώματος - το ένα τοίχωμα από PET και το άλλο από PP για τη διασφάλιση του κενού αλλά και της </w:t>
            </w:r>
            <w:proofErr w:type="spellStart"/>
            <w:r w:rsidRPr="00BA25CE">
              <w:rPr>
                <w:rFonts w:cs="Arial"/>
                <w:color w:val="000000"/>
                <w:sz w:val="16"/>
                <w:szCs w:val="16"/>
              </w:rPr>
              <w:t>ποστότητας</w:t>
            </w:r>
            <w:proofErr w:type="spellEnd"/>
            <w:r w:rsidRPr="00BA25CE">
              <w:rPr>
                <w:rFonts w:cs="Arial"/>
                <w:color w:val="000000"/>
                <w:sz w:val="16"/>
                <w:szCs w:val="16"/>
              </w:rPr>
              <w:t xml:space="preserve"> του αντιπηκτικού, ολικής πληρώσεως, με αντιπηκτικό SODIUM CITRATE 3,2% - 0,109M, με ένδειξη πλήρωσης και ετικέτα για στοιχεία ασθενούς, να αναγράφεται το CE, LOT παραγωγής, REF, ή μέθοδος αποστείρωσης, η χώρα προέλευσης και η ημερομηνία λήξης. Διαστάσεων 13Χ75mm, με πιεστό πώμα ασφαλείας, στεγανής εφαρμογής και εύκολης διάτρησης, που να καλύπτει εξωτερικά το σωληνάριο κατά 2cm. Χωρητικότητας 1,8ml  </w:t>
            </w:r>
          </w:p>
          <w:p w:rsidR="00FA1F89" w:rsidRPr="007C3C52" w:rsidRDefault="00FA1F89" w:rsidP="00F41318">
            <w:pPr>
              <w:pStyle w:val="2"/>
              <w:rPr>
                <w:rFonts w:asciiTheme="minorHAnsi" w:hAnsiTheme="minorHAnsi" w:cstheme="minorHAnsi"/>
                <w:sz w:val="18"/>
                <w:szCs w:val="18"/>
                <w:lang w:val="el-GR"/>
              </w:rPr>
            </w:pPr>
          </w:p>
        </w:tc>
        <w:tc>
          <w:tcPr>
            <w:tcW w:w="1555" w:type="dxa"/>
          </w:tcPr>
          <w:p w:rsidR="00FA1F89" w:rsidRPr="00F72CC7" w:rsidRDefault="00FA1F89" w:rsidP="00F41318">
            <w:pPr>
              <w:pStyle w:val="normalwithoutspacing"/>
              <w:spacing w:before="57" w:after="57"/>
              <w:rPr>
                <w:rFonts w:asciiTheme="minorHAnsi" w:hAnsiTheme="minorHAnsi" w:cstheme="minorHAnsi"/>
                <w:b/>
                <w:sz w:val="18"/>
                <w:szCs w:val="18"/>
                <w:lang w:val="en-US"/>
              </w:rPr>
            </w:pPr>
            <w:r>
              <w:rPr>
                <w:rFonts w:asciiTheme="minorHAnsi" w:hAnsiTheme="minorHAnsi" w:cstheme="minorHAnsi"/>
                <w:b/>
                <w:sz w:val="18"/>
                <w:szCs w:val="18"/>
                <w:lang w:val="en-US"/>
              </w:rPr>
              <w:t>NAI</w:t>
            </w:r>
          </w:p>
        </w:tc>
        <w:tc>
          <w:tcPr>
            <w:tcW w:w="1696" w:type="dxa"/>
          </w:tcPr>
          <w:p w:rsidR="00FA1F89" w:rsidRPr="00CA5642" w:rsidRDefault="00FA1F89" w:rsidP="00F41318">
            <w:pPr>
              <w:pStyle w:val="normalwithoutspacing"/>
              <w:spacing w:before="57" w:after="57"/>
              <w:rPr>
                <w:rFonts w:asciiTheme="minorHAnsi" w:hAnsiTheme="minorHAnsi" w:cstheme="minorHAnsi"/>
                <w:i/>
                <w:color w:val="FF0000"/>
                <w:sz w:val="18"/>
                <w:szCs w:val="18"/>
              </w:rPr>
            </w:pPr>
          </w:p>
        </w:tc>
        <w:tc>
          <w:tcPr>
            <w:tcW w:w="1665" w:type="dxa"/>
          </w:tcPr>
          <w:p w:rsidR="00FA1F89" w:rsidRPr="00CA5642" w:rsidRDefault="00FA1F89" w:rsidP="00F41318">
            <w:pPr>
              <w:pStyle w:val="normalwithoutspacing"/>
              <w:spacing w:before="57" w:after="57"/>
              <w:rPr>
                <w:rFonts w:asciiTheme="minorHAnsi" w:hAnsiTheme="minorHAnsi" w:cstheme="minorHAnsi"/>
                <w:i/>
                <w:color w:val="FF0000"/>
                <w:sz w:val="18"/>
                <w:szCs w:val="18"/>
              </w:rPr>
            </w:pPr>
          </w:p>
        </w:tc>
      </w:tr>
      <w:tr w:rsidR="00FA1F89" w:rsidRPr="00CA5642" w:rsidTr="00BA25CE">
        <w:trPr>
          <w:trHeight w:val="1054"/>
        </w:trPr>
        <w:tc>
          <w:tcPr>
            <w:tcW w:w="578" w:type="dxa"/>
          </w:tcPr>
          <w:p w:rsidR="00FA1F89" w:rsidRDefault="00FA1F89" w:rsidP="00F41318">
            <w:pPr>
              <w:pStyle w:val="normalwithoutspacing"/>
              <w:spacing w:before="57" w:after="57"/>
              <w:rPr>
                <w:rFonts w:asciiTheme="minorHAnsi" w:hAnsiTheme="minorHAnsi" w:cstheme="minorHAnsi"/>
                <w:sz w:val="18"/>
                <w:szCs w:val="18"/>
                <w:lang w:val="en-US"/>
              </w:rPr>
            </w:pPr>
            <w:r>
              <w:rPr>
                <w:rFonts w:asciiTheme="minorHAnsi" w:hAnsiTheme="minorHAnsi" w:cstheme="minorHAnsi"/>
                <w:sz w:val="18"/>
                <w:szCs w:val="18"/>
                <w:lang w:val="en-US"/>
              </w:rPr>
              <w:t>10</w:t>
            </w:r>
          </w:p>
        </w:tc>
        <w:tc>
          <w:tcPr>
            <w:tcW w:w="4360" w:type="dxa"/>
          </w:tcPr>
          <w:p w:rsidR="00BA25CE" w:rsidRPr="00BA25CE" w:rsidRDefault="00FA1F89" w:rsidP="00BA25CE">
            <w:pPr>
              <w:jc w:val="center"/>
              <w:rPr>
                <w:rFonts w:cs="Arial"/>
                <w:sz w:val="16"/>
                <w:szCs w:val="16"/>
              </w:rPr>
            </w:pPr>
            <w:r w:rsidRPr="00BA25CE">
              <w:rPr>
                <w:rFonts w:cs="Calibri"/>
                <w:sz w:val="16"/>
                <w:szCs w:val="16"/>
              </w:rPr>
              <w:t xml:space="preserve"> </w:t>
            </w:r>
            <w:r w:rsidR="00BA25CE" w:rsidRPr="00BA25CE">
              <w:rPr>
                <w:rFonts w:cs="Arial"/>
                <w:color w:val="000000"/>
                <w:sz w:val="16"/>
                <w:szCs w:val="16"/>
              </w:rPr>
              <w:t xml:space="preserve">ΣΕΤ ΣΥΛΛΟΓΗΣ ΑΙΜΑΤΟΣ ΥΠΟ ΚΕΝΟ,  Υποδοχείς σωληναρίων κενού, πλαστικοί, </w:t>
            </w:r>
            <w:r w:rsidR="00BA25CE" w:rsidRPr="00BA25CE">
              <w:rPr>
                <w:rFonts w:cs="Arial"/>
                <w:color w:val="000000"/>
                <w:sz w:val="16"/>
                <w:szCs w:val="16"/>
              </w:rPr>
              <w:br/>
              <w:t>με προεξέχοντα δακτύλιο πάνω στον οποίο  στερεώνεται η βελόνα αιμοληψίας.</w:t>
            </w:r>
          </w:p>
          <w:p w:rsidR="00FA1F89" w:rsidRPr="007C3C52" w:rsidRDefault="00FA1F89" w:rsidP="00BA25CE">
            <w:pPr>
              <w:pStyle w:val="2"/>
              <w:rPr>
                <w:rFonts w:asciiTheme="minorHAnsi" w:hAnsiTheme="minorHAnsi" w:cstheme="minorHAnsi"/>
                <w:sz w:val="18"/>
                <w:szCs w:val="18"/>
                <w:lang w:val="el-GR"/>
              </w:rPr>
            </w:pPr>
          </w:p>
        </w:tc>
        <w:tc>
          <w:tcPr>
            <w:tcW w:w="1555" w:type="dxa"/>
          </w:tcPr>
          <w:p w:rsidR="00FA1F89" w:rsidRPr="00F72CC7" w:rsidRDefault="00FA1F89" w:rsidP="00F41318">
            <w:pPr>
              <w:pStyle w:val="normalwithoutspacing"/>
              <w:spacing w:before="57" w:after="57"/>
              <w:rPr>
                <w:rFonts w:asciiTheme="minorHAnsi" w:hAnsiTheme="minorHAnsi" w:cstheme="minorHAnsi"/>
                <w:b/>
                <w:sz w:val="18"/>
                <w:szCs w:val="18"/>
                <w:lang w:val="en-US"/>
              </w:rPr>
            </w:pPr>
            <w:r>
              <w:rPr>
                <w:rFonts w:asciiTheme="minorHAnsi" w:hAnsiTheme="minorHAnsi" w:cstheme="minorHAnsi"/>
                <w:b/>
                <w:sz w:val="18"/>
                <w:szCs w:val="18"/>
                <w:lang w:val="en-US"/>
              </w:rPr>
              <w:t>NAI</w:t>
            </w:r>
          </w:p>
        </w:tc>
        <w:tc>
          <w:tcPr>
            <w:tcW w:w="1696" w:type="dxa"/>
          </w:tcPr>
          <w:p w:rsidR="00FA1F89" w:rsidRPr="00CA5642" w:rsidRDefault="00FA1F89" w:rsidP="00F41318">
            <w:pPr>
              <w:pStyle w:val="normalwithoutspacing"/>
              <w:spacing w:before="57" w:after="57"/>
              <w:rPr>
                <w:rFonts w:asciiTheme="minorHAnsi" w:hAnsiTheme="minorHAnsi" w:cstheme="minorHAnsi"/>
                <w:i/>
                <w:color w:val="FF0000"/>
                <w:sz w:val="18"/>
                <w:szCs w:val="18"/>
              </w:rPr>
            </w:pPr>
          </w:p>
        </w:tc>
        <w:tc>
          <w:tcPr>
            <w:tcW w:w="1665" w:type="dxa"/>
          </w:tcPr>
          <w:p w:rsidR="00FA1F89" w:rsidRPr="00CA5642" w:rsidRDefault="00FA1F89" w:rsidP="00F41318">
            <w:pPr>
              <w:pStyle w:val="normalwithoutspacing"/>
              <w:spacing w:before="57" w:after="57"/>
              <w:rPr>
                <w:rFonts w:asciiTheme="minorHAnsi" w:hAnsiTheme="minorHAnsi" w:cstheme="minorHAnsi"/>
                <w:i/>
                <w:color w:val="FF0000"/>
                <w:sz w:val="18"/>
                <w:szCs w:val="18"/>
              </w:rPr>
            </w:pPr>
          </w:p>
        </w:tc>
      </w:tr>
      <w:tr w:rsidR="00FA1F89" w:rsidRPr="00CA5642" w:rsidTr="00BA25CE">
        <w:trPr>
          <w:trHeight w:val="1480"/>
        </w:trPr>
        <w:tc>
          <w:tcPr>
            <w:tcW w:w="578" w:type="dxa"/>
          </w:tcPr>
          <w:p w:rsidR="00FA1F89" w:rsidRPr="00F72CC7" w:rsidRDefault="00FA1F89" w:rsidP="00F41318">
            <w:pPr>
              <w:pStyle w:val="normalwithoutspacing"/>
              <w:spacing w:before="57" w:after="57"/>
              <w:rPr>
                <w:rFonts w:asciiTheme="minorHAnsi" w:hAnsiTheme="minorHAnsi" w:cstheme="minorHAnsi"/>
                <w:sz w:val="18"/>
                <w:szCs w:val="18"/>
                <w:lang w:val="en-US"/>
              </w:rPr>
            </w:pPr>
            <w:r>
              <w:rPr>
                <w:rFonts w:asciiTheme="minorHAnsi" w:hAnsiTheme="minorHAnsi" w:cstheme="minorHAnsi"/>
                <w:sz w:val="18"/>
                <w:szCs w:val="18"/>
                <w:lang w:val="en-US"/>
              </w:rPr>
              <w:t>11</w:t>
            </w:r>
          </w:p>
        </w:tc>
        <w:tc>
          <w:tcPr>
            <w:tcW w:w="4360" w:type="dxa"/>
          </w:tcPr>
          <w:p w:rsidR="00BA25CE" w:rsidRPr="00BA25CE" w:rsidRDefault="00FA1F89" w:rsidP="00BA25CE">
            <w:pPr>
              <w:jc w:val="center"/>
              <w:rPr>
                <w:rFonts w:cs="Arial"/>
                <w:sz w:val="16"/>
                <w:szCs w:val="16"/>
              </w:rPr>
            </w:pPr>
            <w:r w:rsidRPr="007C3C52">
              <w:rPr>
                <w:rFonts w:cs="Calibri"/>
                <w:szCs w:val="18"/>
              </w:rPr>
              <w:t xml:space="preserve">     </w:t>
            </w:r>
            <w:r w:rsidR="00BA25CE" w:rsidRPr="00BA25CE">
              <w:rPr>
                <w:rFonts w:cs="Arial"/>
                <w:color w:val="000000"/>
                <w:sz w:val="16"/>
                <w:szCs w:val="16"/>
              </w:rPr>
              <w:t xml:space="preserve">ΣΕΤ ΣΥΛΛΟΓΗΣ ΑΙΜΑΤΟΣ ΥΠΟ ΚΕΝΟ, Υποδοχείς σωληναρίων, µε </w:t>
            </w:r>
            <w:proofErr w:type="spellStart"/>
            <w:r w:rsidR="00BA25CE" w:rsidRPr="00BA25CE">
              <w:rPr>
                <w:rFonts w:cs="Arial"/>
                <w:color w:val="000000"/>
                <w:sz w:val="16"/>
                <w:szCs w:val="16"/>
              </w:rPr>
              <w:t>αυτόµατη</w:t>
            </w:r>
            <w:proofErr w:type="spellEnd"/>
            <w:r w:rsidR="00BA25CE" w:rsidRPr="00BA25CE">
              <w:rPr>
                <w:rFonts w:cs="Arial"/>
                <w:color w:val="000000"/>
                <w:sz w:val="16"/>
                <w:szCs w:val="16"/>
              </w:rPr>
              <w:t xml:space="preserve"> απόρριψη βελονών </w:t>
            </w:r>
            <w:proofErr w:type="spellStart"/>
            <w:r w:rsidR="00BA25CE" w:rsidRPr="00BA25CE">
              <w:rPr>
                <w:rFonts w:cs="Arial"/>
                <w:color w:val="000000"/>
                <w:sz w:val="16"/>
                <w:szCs w:val="16"/>
              </w:rPr>
              <w:t>αιµοληψίας</w:t>
            </w:r>
            <w:proofErr w:type="spellEnd"/>
            <w:r w:rsidR="00BA25CE" w:rsidRPr="00BA25CE">
              <w:rPr>
                <w:rFonts w:cs="Arial"/>
                <w:color w:val="000000"/>
                <w:sz w:val="16"/>
                <w:szCs w:val="16"/>
              </w:rPr>
              <w:t xml:space="preserve">, βελονών </w:t>
            </w:r>
            <w:proofErr w:type="spellStart"/>
            <w:r w:rsidR="00BA25CE" w:rsidRPr="00BA25CE">
              <w:rPr>
                <w:rFonts w:cs="Arial"/>
                <w:color w:val="000000"/>
                <w:sz w:val="16"/>
                <w:szCs w:val="16"/>
              </w:rPr>
              <w:t>αιµοληψίας</w:t>
            </w:r>
            <w:proofErr w:type="spellEnd"/>
            <w:r w:rsidR="00BA25CE" w:rsidRPr="00BA25CE">
              <w:rPr>
                <w:rFonts w:cs="Arial"/>
                <w:color w:val="000000"/>
                <w:sz w:val="16"/>
                <w:szCs w:val="16"/>
              </w:rPr>
              <w:t xml:space="preserve"> ασφαλείας και πεταλούδων </w:t>
            </w:r>
            <w:proofErr w:type="spellStart"/>
            <w:r w:rsidR="00BA25CE" w:rsidRPr="00BA25CE">
              <w:rPr>
                <w:rFonts w:cs="Arial"/>
                <w:color w:val="000000"/>
                <w:sz w:val="16"/>
                <w:szCs w:val="16"/>
              </w:rPr>
              <w:t>αιµοληψίας</w:t>
            </w:r>
            <w:proofErr w:type="spellEnd"/>
          </w:p>
          <w:p w:rsidR="00FA1F89" w:rsidRPr="007C3C52" w:rsidRDefault="00FA1F89" w:rsidP="00BA25CE">
            <w:pPr>
              <w:pStyle w:val="2"/>
              <w:rPr>
                <w:rFonts w:ascii="Calibri" w:hAnsi="Calibri" w:cs="Calibri"/>
                <w:sz w:val="18"/>
                <w:szCs w:val="18"/>
                <w:lang w:val="el-GR"/>
              </w:rPr>
            </w:pPr>
          </w:p>
        </w:tc>
        <w:tc>
          <w:tcPr>
            <w:tcW w:w="1555" w:type="dxa"/>
          </w:tcPr>
          <w:p w:rsidR="00FA1F89" w:rsidRPr="00F72CC7" w:rsidRDefault="00FA1F89" w:rsidP="00F41318">
            <w:pPr>
              <w:pStyle w:val="normalwithoutspacing"/>
              <w:spacing w:before="57" w:after="57"/>
              <w:rPr>
                <w:rFonts w:asciiTheme="minorHAnsi" w:hAnsiTheme="minorHAnsi" w:cstheme="minorHAnsi"/>
                <w:b/>
                <w:sz w:val="18"/>
                <w:szCs w:val="18"/>
                <w:lang w:val="en-US"/>
              </w:rPr>
            </w:pPr>
            <w:r>
              <w:rPr>
                <w:rFonts w:asciiTheme="minorHAnsi" w:hAnsiTheme="minorHAnsi" w:cstheme="minorHAnsi"/>
                <w:b/>
                <w:sz w:val="18"/>
                <w:szCs w:val="18"/>
                <w:lang w:val="en-US"/>
              </w:rPr>
              <w:t>NAI</w:t>
            </w:r>
          </w:p>
        </w:tc>
        <w:tc>
          <w:tcPr>
            <w:tcW w:w="1696" w:type="dxa"/>
          </w:tcPr>
          <w:p w:rsidR="00FA1F89" w:rsidRPr="00CA5642" w:rsidRDefault="00FA1F89" w:rsidP="00F41318">
            <w:pPr>
              <w:pStyle w:val="normalwithoutspacing"/>
              <w:spacing w:before="57" w:after="57"/>
              <w:rPr>
                <w:rFonts w:asciiTheme="minorHAnsi" w:hAnsiTheme="minorHAnsi" w:cstheme="minorHAnsi"/>
                <w:i/>
                <w:color w:val="FF0000"/>
                <w:sz w:val="18"/>
                <w:szCs w:val="18"/>
              </w:rPr>
            </w:pPr>
          </w:p>
        </w:tc>
        <w:tc>
          <w:tcPr>
            <w:tcW w:w="1665" w:type="dxa"/>
          </w:tcPr>
          <w:p w:rsidR="00FA1F89" w:rsidRPr="00CA5642" w:rsidRDefault="00FA1F89" w:rsidP="00F41318">
            <w:pPr>
              <w:pStyle w:val="normalwithoutspacing"/>
              <w:spacing w:before="57" w:after="57"/>
              <w:rPr>
                <w:rFonts w:asciiTheme="minorHAnsi" w:hAnsiTheme="minorHAnsi" w:cstheme="minorHAnsi"/>
                <w:i/>
                <w:color w:val="FF0000"/>
                <w:sz w:val="18"/>
                <w:szCs w:val="18"/>
              </w:rPr>
            </w:pPr>
          </w:p>
        </w:tc>
      </w:tr>
      <w:tr w:rsidR="00FA1F89" w:rsidRPr="00CA5642" w:rsidTr="00BA25CE">
        <w:trPr>
          <w:trHeight w:val="2614"/>
        </w:trPr>
        <w:tc>
          <w:tcPr>
            <w:tcW w:w="578" w:type="dxa"/>
          </w:tcPr>
          <w:p w:rsidR="00FA1F89" w:rsidRPr="00F72CC7" w:rsidRDefault="00FA1F89" w:rsidP="00F41318">
            <w:pPr>
              <w:pStyle w:val="normalwithoutspacing"/>
              <w:spacing w:before="57" w:after="57"/>
              <w:rPr>
                <w:rFonts w:asciiTheme="minorHAnsi" w:hAnsiTheme="minorHAnsi" w:cstheme="minorHAnsi"/>
                <w:sz w:val="18"/>
                <w:szCs w:val="18"/>
                <w:lang w:val="en-US"/>
              </w:rPr>
            </w:pPr>
            <w:r>
              <w:rPr>
                <w:rFonts w:asciiTheme="minorHAnsi" w:hAnsiTheme="minorHAnsi" w:cstheme="minorHAnsi"/>
                <w:sz w:val="18"/>
                <w:szCs w:val="18"/>
                <w:lang w:val="en-US"/>
              </w:rPr>
              <w:t>12</w:t>
            </w:r>
          </w:p>
        </w:tc>
        <w:tc>
          <w:tcPr>
            <w:tcW w:w="4360" w:type="dxa"/>
          </w:tcPr>
          <w:p w:rsidR="00BA25CE" w:rsidRPr="00BA25CE" w:rsidRDefault="00FA1F89" w:rsidP="00BA25CE">
            <w:pPr>
              <w:jc w:val="center"/>
              <w:rPr>
                <w:rFonts w:cs="Arial"/>
                <w:sz w:val="16"/>
                <w:szCs w:val="16"/>
              </w:rPr>
            </w:pPr>
            <w:r>
              <w:rPr>
                <w:rFonts w:cs="Calibri"/>
                <w:sz w:val="20"/>
              </w:rPr>
              <w:t xml:space="preserve"> </w:t>
            </w:r>
            <w:r w:rsidRPr="007C3C52">
              <w:rPr>
                <w:rFonts w:cs="Calibri"/>
                <w:sz w:val="20"/>
              </w:rPr>
              <w:t xml:space="preserve"> </w:t>
            </w:r>
            <w:r w:rsidRPr="007C3C52">
              <w:rPr>
                <w:rFonts w:asciiTheme="minorHAnsi" w:hAnsiTheme="minorHAnsi" w:cstheme="minorHAnsi"/>
                <w:szCs w:val="18"/>
              </w:rPr>
              <w:t xml:space="preserve">  </w:t>
            </w:r>
            <w:r w:rsidR="00BA25CE" w:rsidRPr="00BA25CE">
              <w:rPr>
                <w:rFonts w:cs="Arial"/>
                <w:color w:val="000000"/>
                <w:sz w:val="16"/>
                <w:szCs w:val="16"/>
              </w:rPr>
              <w:t xml:space="preserve">ΣΕΤ ΣΥΛΛΟΓΗΣ ΑΙΜΑΤΟΣ ΥΠΟ ΚΕΝΟ, Βελόνες αιμοληψίας-διατρήσεως σωληναρίων κενού, με ενσωματωμένο μη αποσπώμενο προστατευτικό κάλυμμα  για την ασφάλιση της βελόνας για λόγους ασφαλείας, 21G Χ 1-1/4΄΄ , σε ατομική αποστειρωμένη συσκευασία. </w:t>
            </w:r>
            <w:proofErr w:type="spellStart"/>
            <w:r w:rsidR="00BA25CE" w:rsidRPr="00BA25CE">
              <w:rPr>
                <w:rFonts w:cs="Arial"/>
                <w:color w:val="000000"/>
                <w:sz w:val="16"/>
                <w:szCs w:val="16"/>
              </w:rPr>
              <w:t>Nα</w:t>
            </w:r>
            <w:proofErr w:type="spellEnd"/>
            <w:r w:rsidR="00BA25CE" w:rsidRPr="00BA25CE">
              <w:rPr>
                <w:rFonts w:cs="Arial"/>
                <w:color w:val="000000"/>
                <w:sz w:val="16"/>
                <w:szCs w:val="16"/>
              </w:rPr>
              <w:t xml:space="preserve"> αναγράφεται το CE, LOT παραγωγής, η μέθοδος αποστείρωσης, η χώρα προέλευσης και η ημερομηνία λήξης. Η ασφάλιση της βελόνας να γίνεται με το ένα χέρι, ταυτοχρόνως με την έξοδο   από την φλέβα, με εύκολο τρόπο, εμφανή και μη αναστρέψιμα. Χωρίς ενσωματωμένο υποδοχέα σωληναρίων.</w:t>
            </w:r>
          </w:p>
          <w:p w:rsidR="00FA1F89" w:rsidRPr="007C3C52" w:rsidRDefault="00FA1F89" w:rsidP="00BA25CE">
            <w:pPr>
              <w:pStyle w:val="2"/>
              <w:rPr>
                <w:rFonts w:asciiTheme="minorHAnsi" w:hAnsiTheme="minorHAnsi" w:cstheme="minorHAnsi"/>
                <w:sz w:val="18"/>
                <w:szCs w:val="18"/>
                <w:lang w:val="el-GR"/>
              </w:rPr>
            </w:pPr>
            <w:r w:rsidRPr="007C3C52">
              <w:rPr>
                <w:rFonts w:asciiTheme="minorHAnsi" w:hAnsiTheme="minorHAnsi" w:cstheme="minorHAnsi"/>
                <w:sz w:val="18"/>
                <w:szCs w:val="18"/>
                <w:lang w:val="el-GR"/>
              </w:rPr>
              <w:t xml:space="preserve"> </w:t>
            </w:r>
          </w:p>
        </w:tc>
        <w:tc>
          <w:tcPr>
            <w:tcW w:w="1555" w:type="dxa"/>
          </w:tcPr>
          <w:p w:rsidR="00FA1F89" w:rsidRPr="00F72CC7" w:rsidRDefault="00FA1F89" w:rsidP="00F41318">
            <w:pPr>
              <w:pStyle w:val="normalwithoutspacing"/>
              <w:spacing w:before="57" w:after="57"/>
              <w:rPr>
                <w:rFonts w:asciiTheme="minorHAnsi" w:hAnsiTheme="minorHAnsi" w:cstheme="minorHAnsi"/>
                <w:b/>
                <w:sz w:val="18"/>
                <w:szCs w:val="18"/>
                <w:lang w:val="en-US"/>
              </w:rPr>
            </w:pPr>
            <w:r>
              <w:rPr>
                <w:rFonts w:asciiTheme="minorHAnsi" w:hAnsiTheme="minorHAnsi" w:cstheme="minorHAnsi"/>
                <w:b/>
                <w:sz w:val="18"/>
                <w:szCs w:val="18"/>
                <w:lang w:val="en-US"/>
              </w:rPr>
              <w:t>NAI</w:t>
            </w:r>
          </w:p>
        </w:tc>
        <w:tc>
          <w:tcPr>
            <w:tcW w:w="1696" w:type="dxa"/>
          </w:tcPr>
          <w:p w:rsidR="00FA1F89" w:rsidRPr="00CA5642" w:rsidRDefault="00FA1F89" w:rsidP="00F41318">
            <w:pPr>
              <w:pStyle w:val="normalwithoutspacing"/>
              <w:spacing w:before="57" w:after="57"/>
              <w:rPr>
                <w:rFonts w:asciiTheme="minorHAnsi" w:hAnsiTheme="minorHAnsi" w:cstheme="minorHAnsi"/>
                <w:i/>
                <w:color w:val="FF0000"/>
                <w:sz w:val="18"/>
                <w:szCs w:val="18"/>
              </w:rPr>
            </w:pPr>
          </w:p>
        </w:tc>
        <w:tc>
          <w:tcPr>
            <w:tcW w:w="1665" w:type="dxa"/>
          </w:tcPr>
          <w:p w:rsidR="00FA1F89" w:rsidRPr="00CA5642" w:rsidRDefault="00FA1F89" w:rsidP="00F41318">
            <w:pPr>
              <w:pStyle w:val="normalwithoutspacing"/>
              <w:spacing w:before="57" w:after="57"/>
              <w:rPr>
                <w:rFonts w:asciiTheme="minorHAnsi" w:hAnsiTheme="minorHAnsi" w:cstheme="minorHAnsi"/>
                <w:i/>
                <w:color w:val="FF0000"/>
                <w:sz w:val="18"/>
                <w:szCs w:val="18"/>
              </w:rPr>
            </w:pPr>
          </w:p>
        </w:tc>
      </w:tr>
      <w:tr w:rsidR="00FA1F89" w:rsidRPr="00CA5642" w:rsidTr="00BA25CE">
        <w:trPr>
          <w:trHeight w:val="2537"/>
        </w:trPr>
        <w:tc>
          <w:tcPr>
            <w:tcW w:w="578" w:type="dxa"/>
          </w:tcPr>
          <w:p w:rsidR="00FA1F89" w:rsidRPr="00F72CC7" w:rsidRDefault="00FA1F89" w:rsidP="00F41318">
            <w:pPr>
              <w:pStyle w:val="normalwithoutspacing"/>
              <w:spacing w:before="57" w:after="57"/>
              <w:rPr>
                <w:rFonts w:asciiTheme="minorHAnsi" w:hAnsiTheme="minorHAnsi" w:cstheme="minorHAnsi"/>
                <w:sz w:val="18"/>
                <w:szCs w:val="18"/>
                <w:lang w:val="en-US"/>
              </w:rPr>
            </w:pPr>
            <w:r>
              <w:rPr>
                <w:rFonts w:asciiTheme="minorHAnsi" w:hAnsiTheme="minorHAnsi" w:cstheme="minorHAnsi"/>
                <w:sz w:val="18"/>
                <w:szCs w:val="18"/>
                <w:lang w:val="en-US"/>
              </w:rPr>
              <w:t>13</w:t>
            </w:r>
          </w:p>
        </w:tc>
        <w:tc>
          <w:tcPr>
            <w:tcW w:w="4360" w:type="dxa"/>
          </w:tcPr>
          <w:p w:rsidR="00BA25CE" w:rsidRPr="00BA25CE" w:rsidRDefault="00FA1F89" w:rsidP="00BA25CE">
            <w:pPr>
              <w:jc w:val="center"/>
              <w:rPr>
                <w:rFonts w:cs="Arial"/>
                <w:sz w:val="16"/>
                <w:szCs w:val="16"/>
              </w:rPr>
            </w:pPr>
            <w:r w:rsidRPr="00BA25CE">
              <w:rPr>
                <w:rFonts w:cs="Calibri"/>
                <w:sz w:val="16"/>
                <w:szCs w:val="16"/>
              </w:rPr>
              <w:t xml:space="preserve"> </w:t>
            </w:r>
            <w:r w:rsidR="00BA25CE" w:rsidRPr="00BA25CE">
              <w:rPr>
                <w:rFonts w:cs="Arial"/>
                <w:color w:val="000000"/>
                <w:sz w:val="16"/>
                <w:szCs w:val="16"/>
              </w:rPr>
              <w:t xml:space="preserve">ΣΕΤ ΣΥΛΛΟΓΗΣ ΑΙΜΑΤΟΣ ΥΠΟ ΚΕΝΟ, Βελόνες αιμοληψίας-διατρήσεως σωληναρίων κενού, με ενσωματωμένο μη αποσπώμενο προστατευτικό κάλυμμα για την ασφάλιση της βελόνας για λόγους ασφαλείας, 22G Χ1-1/4΄΄ σε ατομική αποστειρωμένη συσκευασία. </w:t>
            </w:r>
            <w:proofErr w:type="spellStart"/>
            <w:r w:rsidR="00BA25CE" w:rsidRPr="00BA25CE">
              <w:rPr>
                <w:rFonts w:cs="Arial"/>
                <w:color w:val="000000"/>
                <w:sz w:val="16"/>
                <w:szCs w:val="16"/>
              </w:rPr>
              <w:t>Nα</w:t>
            </w:r>
            <w:proofErr w:type="spellEnd"/>
            <w:r w:rsidR="00BA25CE" w:rsidRPr="00BA25CE">
              <w:rPr>
                <w:rFonts w:cs="Arial"/>
                <w:color w:val="000000"/>
                <w:sz w:val="16"/>
                <w:szCs w:val="16"/>
              </w:rPr>
              <w:t xml:space="preserve"> αναγράφεται το CE, LOT παραγωγής, η μέθοδος αποστείρωσης, η χώρα προέλευσης και η ημερομηνία λήξης. Η ασφάλιση της βελόνας να γίνεται με το ένα χέρι, ταυτοχρόνως με την έξοδο   από την φλέβα, με εύκολο τρόπο, εμφανή και μη αναστρέψιμα. Χωρίς ενσωματωμένο υποδοχέα σωληναρίων.</w:t>
            </w:r>
          </w:p>
          <w:p w:rsidR="00FA1F89" w:rsidRPr="007C3C52" w:rsidRDefault="00FA1F89" w:rsidP="00BA25CE">
            <w:pPr>
              <w:pStyle w:val="2"/>
              <w:rPr>
                <w:rFonts w:ascii="Calibri" w:hAnsi="Calibri" w:cs="Calibri"/>
                <w:sz w:val="18"/>
                <w:szCs w:val="18"/>
                <w:lang w:val="el-GR"/>
              </w:rPr>
            </w:pPr>
          </w:p>
        </w:tc>
        <w:tc>
          <w:tcPr>
            <w:tcW w:w="1555" w:type="dxa"/>
          </w:tcPr>
          <w:p w:rsidR="00FA1F89" w:rsidRPr="00F72CC7" w:rsidRDefault="00FA1F89" w:rsidP="00F41318">
            <w:pPr>
              <w:pStyle w:val="normalwithoutspacing"/>
              <w:spacing w:before="57" w:after="57"/>
              <w:rPr>
                <w:rFonts w:asciiTheme="minorHAnsi" w:hAnsiTheme="minorHAnsi" w:cstheme="minorHAnsi"/>
                <w:b/>
                <w:sz w:val="18"/>
                <w:szCs w:val="18"/>
                <w:lang w:val="en-US"/>
              </w:rPr>
            </w:pPr>
            <w:r>
              <w:rPr>
                <w:rFonts w:asciiTheme="minorHAnsi" w:hAnsiTheme="minorHAnsi" w:cstheme="minorHAnsi"/>
                <w:b/>
                <w:sz w:val="18"/>
                <w:szCs w:val="18"/>
                <w:lang w:val="en-US"/>
              </w:rPr>
              <w:t>NAI</w:t>
            </w:r>
          </w:p>
        </w:tc>
        <w:tc>
          <w:tcPr>
            <w:tcW w:w="1696" w:type="dxa"/>
          </w:tcPr>
          <w:p w:rsidR="00FA1F89" w:rsidRPr="00CA5642" w:rsidRDefault="00FA1F89" w:rsidP="00F41318">
            <w:pPr>
              <w:pStyle w:val="normalwithoutspacing"/>
              <w:spacing w:before="57" w:after="57"/>
              <w:rPr>
                <w:rFonts w:asciiTheme="minorHAnsi" w:hAnsiTheme="minorHAnsi" w:cstheme="minorHAnsi"/>
                <w:i/>
                <w:color w:val="FF0000"/>
                <w:sz w:val="18"/>
                <w:szCs w:val="18"/>
              </w:rPr>
            </w:pPr>
          </w:p>
        </w:tc>
        <w:tc>
          <w:tcPr>
            <w:tcW w:w="1665" w:type="dxa"/>
          </w:tcPr>
          <w:p w:rsidR="00FA1F89" w:rsidRPr="00CA5642" w:rsidRDefault="00FA1F89" w:rsidP="00F41318">
            <w:pPr>
              <w:pStyle w:val="normalwithoutspacing"/>
              <w:spacing w:before="57" w:after="57"/>
              <w:rPr>
                <w:rFonts w:asciiTheme="minorHAnsi" w:hAnsiTheme="minorHAnsi" w:cstheme="minorHAnsi"/>
                <w:i/>
                <w:color w:val="FF0000"/>
                <w:sz w:val="18"/>
                <w:szCs w:val="18"/>
              </w:rPr>
            </w:pPr>
          </w:p>
        </w:tc>
      </w:tr>
      <w:tr w:rsidR="00FA1F89" w:rsidRPr="00CA5642" w:rsidTr="00BA25CE">
        <w:trPr>
          <w:trHeight w:val="1937"/>
        </w:trPr>
        <w:tc>
          <w:tcPr>
            <w:tcW w:w="578" w:type="dxa"/>
          </w:tcPr>
          <w:p w:rsidR="00FA1F89" w:rsidRPr="00F72CC7" w:rsidRDefault="00FA1F89" w:rsidP="00F41318">
            <w:pPr>
              <w:pStyle w:val="normalwithoutspacing"/>
              <w:spacing w:before="57" w:after="57"/>
              <w:rPr>
                <w:rFonts w:asciiTheme="minorHAnsi" w:hAnsiTheme="minorHAnsi" w:cstheme="minorHAnsi"/>
                <w:sz w:val="18"/>
                <w:szCs w:val="18"/>
                <w:lang w:val="en-US"/>
              </w:rPr>
            </w:pPr>
            <w:r>
              <w:rPr>
                <w:rFonts w:asciiTheme="minorHAnsi" w:hAnsiTheme="minorHAnsi" w:cstheme="minorHAnsi"/>
                <w:sz w:val="18"/>
                <w:szCs w:val="18"/>
                <w:lang w:val="en-US"/>
              </w:rPr>
              <w:t>14</w:t>
            </w:r>
          </w:p>
        </w:tc>
        <w:tc>
          <w:tcPr>
            <w:tcW w:w="4360" w:type="dxa"/>
          </w:tcPr>
          <w:p w:rsidR="00BA25CE" w:rsidRPr="00BA25CE" w:rsidRDefault="00BA25CE" w:rsidP="00BA25CE">
            <w:pPr>
              <w:jc w:val="center"/>
              <w:rPr>
                <w:rFonts w:cs="Arial"/>
                <w:sz w:val="16"/>
                <w:szCs w:val="16"/>
              </w:rPr>
            </w:pPr>
            <w:r w:rsidRPr="00BA25CE">
              <w:rPr>
                <w:rFonts w:cs="Arial"/>
                <w:color w:val="000000"/>
                <w:sz w:val="16"/>
                <w:szCs w:val="16"/>
              </w:rPr>
              <w:t xml:space="preserve">ΣΕΤ ΣΥΛΛΟΓΗΣ ΑΙΜΑΤΟΣ ΥΠΟ ΚΕΝΟ, Πεταλούδες </w:t>
            </w:r>
            <w:proofErr w:type="spellStart"/>
            <w:r w:rsidRPr="00BA25CE">
              <w:rPr>
                <w:rFonts w:cs="Arial"/>
                <w:color w:val="000000"/>
                <w:sz w:val="16"/>
                <w:szCs w:val="16"/>
              </w:rPr>
              <w:t>αιµοληψίας</w:t>
            </w:r>
            <w:proofErr w:type="spellEnd"/>
            <w:r w:rsidRPr="00BA25CE">
              <w:rPr>
                <w:rFonts w:cs="Arial"/>
                <w:color w:val="000000"/>
                <w:sz w:val="16"/>
                <w:szCs w:val="16"/>
              </w:rPr>
              <w:t>- διατρήσεως σωληναρίων κενού, µε µ</w:t>
            </w:r>
            <w:proofErr w:type="spellStart"/>
            <w:r w:rsidRPr="00BA25CE">
              <w:rPr>
                <w:rFonts w:cs="Arial"/>
                <w:color w:val="000000"/>
                <w:sz w:val="16"/>
                <w:szCs w:val="16"/>
              </w:rPr>
              <w:t>ηχανισµό</w:t>
            </w:r>
            <w:proofErr w:type="spellEnd"/>
            <w:r w:rsidRPr="00BA25CE">
              <w:rPr>
                <w:rFonts w:cs="Arial"/>
                <w:color w:val="000000"/>
                <w:sz w:val="16"/>
                <w:szCs w:val="16"/>
              </w:rPr>
              <w:t xml:space="preserve"> εγκόλπωσης της βελόνας από την φλέβα και ταυτόχρονη ασφάλισή της. Μίας χρήσης, </w:t>
            </w:r>
            <w:proofErr w:type="spellStart"/>
            <w:r w:rsidRPr="00BA25CE">
              <w:rPr>
                <w:rFonts w:cs="Arial"/>
                <w:color w:val="000000"/>
                <w:sz w:val="16"/>
                <w:szCs w:val="16"/>
              </w:rPr>
              <w:t>αποστειρωµένη</w:t>
            </w:r>
            <w:proofErr w:type="spellEnd"/>
            <w:r w:rsidRPr="00BA25CE">
              <w:rPr>
                <w:rFonts w:cs="Arial"/>
                <w:color w:val="000000"/>
                <w:sz w:val="16"/>
                <w:szCs w:val="16"/>
              </w:rPr>
              <w:t>, σωληνίσκος κοντός 178mm, Ο µ</w:t>
            </w:r>
            <w:proofErr w:type="spellStart"/>
            <w:r w:rsidRPr="00BA25CE">
              <w:rPr>
                <w:rFonts w:cs="Arial"/>
                <w:color w:val="000000"/>
                <w:sz w:val="16"/>
                <w:szCs w:val="16"/>
              </w:rPr>
              <w:t>ηχανισµός</w:t>
            </w:r>
            <w:proofErr w:type="spellEnd"/>
            <w:r w:rsidRPr="00BA25CE">
              <w:rPr>
                <w:rFonts w:cs="Arial"/>
                <w:color w:val="000000"/>
                <w:sz w:val="16"/>
                <w:szCs w:val="16"/>
              </w:rPr>
              <w:t xml:space="preserve"> να ενεργοποιείται µε το ένα χέρι, µε τρόπο προφανή, γρήγορο και αποδοτικό, 23G</w:t>
            </w:r>
          </w:p>
          <w:p w:rsidR="00FA1F89" w:rsidRPr="007C3C52" w:rsidRDefault="00FA1F89" w:rsidP="00F41318">
            <w:pPr>
              <w:pStyle w:val="2"/>
              <w:rPr>
                <w:rFonts w:ascii="Calibri" w:hAnsi="Calibri" w:cs="Calibri"/>
                <w:sz w:val="18"/>
                <w:szCs w:val="18"/>
                <w:lang w:val="el-GR"/>
              </w:rPr>
            </w:pPr>
          </w:p>
        </w:tc>
        <w:tc>
          <w:tcPr>
            <w:tcW w:w="1555" w:type="dxa"/>
          </w:tcPr>
          <w:p w:rsidR="00FA1F89" w:rsidRPr="00F72CC7" w:rsidRDefault="00FA1F89" w:rsidP="00F41318">
            <w:pPr>
              <w:pStyle w:val="normalwithoutspacing"/>
              <w:spacing w:before="57" w:after="57"/>
              <w:rPr>
                <w:rFonts w:asciiTheme="minorHAnsi" w:hAnsiTheme="minorHAnsi" w:cstheme="minorHAnsi"/>
                <w:b/>
                <w:sz w:val="18"/>
                <w:szCs w:val="18"/>
                <w:lang w:val="en-US"/>
              </w:rPr>
            </w:pPr>
            <w:r>
              <w:rPr>
                <w:rFonts w:asciiTheme="minorHAnsi" w:hAnsiTheme="minorHAnsi" w:cstheme="minorHAnsi"/>
                <w:b/>
                <w:sz w:val="18"/>
                <w:szCs w:val="18"/>
                <w:lang w:val="en-US"/>
              </w:rPr>
              <w:t xml:space="preserve">NAI </w:t>
            </w:r>
          </w:p>
        </w:tc>
        <w:tc>
          <w:tcPr>
            <w:tcW w:w="1696" w:type="dxa"/>
          </w:tcPr>
          <w:p w:rsidR="00FA1F89" w:rsidRPr="00CA5642" w:rsidRDefault="00FA1F89" w:rsidP="00F41318">
            <w:pPr>
              <w:pStyle w:val="normalwithoutspacing"/>
              <w:spacing w:before="57" w:after="57"/>
              <w:rPr>
                <w:rFonts w:asciiTheme="minorHAnsi" w:hAnsiTheme="minorHAnsi" w:cstheme="minorHAnsi"/>
                <w:i/>
                <w:color w:val="FF0000"/>
                <w:sz w:val="18"/>
                <w:szCs w:val="18"/>
              </w:rPr>
            </w:pPr>
          </w:p>
        </w:tc>
        <w:tc>
          <w:tcPr>
            <w:tcW w:w="1665" w:type="dxa"/>
          </w:tcPr>
          <w:p w:rsidR="00FA1F89" w:rsidRPr="00CA5642" w:rsidRDefault="00FA1F89" w:rsidP="00F41318">
            <w:pPr>
              <w:pStyle w:val="normalwithoutspacing"/>
              <w:spacing w:before="57" w:after="57"/>
              <w:rPr>
                <w:rFonts w:asciiTheme="minorHAnsi" w:hAnsiTheme="minorHAnsi" w:cstheme="minorHAnsi"/>
                <w:i/>
                <w:color w:val="FF0000"/>
                <w:sz w:val="18"/>
                <w:szCs w:val="18"/>
              </w:rPr>
            </w:pPr>
          </w:p>
        </w:tc>
      </w:tr>
      <w:tr w:rsidR="00FA1F89" w:rsidRPr="00CA5642" w:rsidTr="00EB0727">
        <w:trPr>
          <w:trHeight w:val="1978"/>
        </w:trPr>
        <w:tc>
          <w:tcPr>
            <w:tcW w:w="578" w:type="dxa"/>
          </w:tcPr>
          <w:p w:rsidR="00FA1F89" w:rsidRDefault="00FA1F89" w:rsidP="00F41318">
            <w:pPr>
              <w:pStyle w:val="normalwithoutspacing"/>
              <w:spacing w:before="57" w:after="57"/>
              <w:rPr>
                <w:rFonts w:asciiTheme="minorHAnsi" w:hAnsiTheme="minorHAnsi" w:cstheme="minorHAnsi"/>
                <w:sz w:val="18"/>
                <w:szCs w:val="18"/>
                <w:lang w:val="en-US"/>
              </w:rPr>
            </w:pPr>
            <w:r>
              <w:rPr>
                <w:rFonts w:asciiTheme="minorHAnsi" w:hAnsiTheme="minorHAnsi" w:cstheme="minorHAnsi"/>
                <w:sz w:val="18"/>
                <w:szCs w:val="18"/>
                <w:lang w:val="en-US"/>
              </w:rPr>
              <w:t>15</w:t>
            </w:r>
          </w:p>
        </w:tc>
        <w:tc>
          <w:tcPr>
            <w:tcW w:w="4360" w:type="dxa"/>
          </w:tcPr>
          <w:p w:rsidR="00BA25CE" w:rsidRPr="00EB0727" w:rsidRDefault="00FA1F89" w:rsidP="00BA25CE">
            <w:pPr>
              <w:jc w:val="center"/>
              <w:rPr>
                <w:rFonts w:cs="Arial"/>
                <w:sz w:val="16"/>
                <w:szCs w:val="16"/>
              </w:rPr>
            </w:pPr>
            <w:r>
              <w:rPr>
                <w:rFonts w:cs="Calibri"/>
                <w:sz w:val="20"/>
              </w:rPr>
              <w:t xml:space="preserve"> </w:t>
            </w:r>
            <w:r w:rsidR="00BA25CE" w:rsidRPr="00EB0727">
              <w:rPr>
                <w:rFonts w:cs="Arial"/>
                <w:color w:val="000000"/>
                <w:sz w:val="16"/>
                <w:szCs w:val="16"/>
              </w:rPr>
              <w:t xml:space="preserve">ΣΕΤ ΣΥΛΛΟΓΗΣ ΑΙΜΑΤΟΣ ΥΠΟ ΚΕΝΟ, Πεταλούδες </w:t>
            </w:r>
            <w:proofErr w:type="spellStart"/>
            <w:r w:rsidR="00BA25CE" w:rsidRPr="00EB0727">
              <w:rPr>
                <w:rFonts w:cs="Arial"/>
                <w:color w:val="000000"/>
                <w:sz w:val="16"/>
                <w:szCs w:val="16"/>
              </w:rPr>
              <w:t>αιµοληψίας</w:t>
            </w:r>
            <w:proofErr w:type="spellEnd"/>
            <w:r w:rsidR="00BA25CE" w:rsidRPr="00EB0727">
              <w:rPr>
                <w:rFonts w:cs="Arial"/>
                <w:color w:val="000000"/>
                <w:sz w:val="16"/>
                <w:szCs w:val="16"/>
              </w:rPr>
              <w:t>- διατρήσεως σωληναρίων κενού, µε µ</w:t>
            </w:r>
            <w:proofErr w:type="spellStart"/>
            <w:r w:rsidR="00BA25CE" w:rsidRPr="00EB0727">
              <w:rPr>
                <w:rFonts w:cs="Arial"/>
                <w:color w:val="000000"/>
                <w:sz w:val="16"/>
                <w:szCs w:val="16"/>
              </w:rPr>
              <w:t>ηχανισµό</w:t>
            </w:r>
            <w:proofErr w:type="spellEnd"/>
            <w:r w:rsidR="00BA25CE" w:rsidRPr="00EB0727">
              <w:rPr>
                <w:rFonts w:cs="Arial"/>
                <w:color w:val="000000"/>
                <w:sz w:val="16"/>
                <w:szCs w:val="16"/>
              </w:rPr>
              <w:t xml:space="preserve"> εγκόλπωσης της βελόνας από την φλέβα και ταυτόχρονη ασφάλισή της. Μίας χρήσης, </w:t>
            </w:r>
            <w:proofErr w:type="spellStart"/>
            <w:r w:rsidR="00BA25CE" w:rsidRPr="00EB0727">
              <w:rPr>
                <w:rFonts w:cs="Arial"/>
                <w:color w:val="000000"/>
                <w:sz w:val="16"/>
                <w:szCs w:val="16"/>
              </w:rPr>
              <w:t>αποστειρωµένη</w:t>
            </w:r>
            <w:proofErr w:type="spellEnd"/>
            <w:r w:rsidR="00BA25CE" w:rsidRPr="00EB0727">
              <w:rPr>
                <w:rFonts w:cs="Arial"/>
                <w:color w:val="000000"/>
                <w:sz w:val="16"/>
                <w:szCs w:val="16"/>
              </w:rPr>
              <w:t>, σωληνίσκος κοντός 178mm, Ο µ</w:t>
            </w:r>
            <w:proofErr w:type="spellStart"/>
            <w:r w:rsidR="00BA25CE" w:rsidRPr="00EB0727">
              <w:rPr>
                <w:rFonts w:cs="Arial"/>
                <w:color w:val="000000"/>
                <w:sz w:val="16"/>
                <w:szCs w:val="16"/>
              </w:rPr>
              <w:t>ηχανισµός</w:t>
            </w:r>
            <w:proofErr w:type="spellEnd"/>
            <w:r w:rsidR="00BA25CE" w:rsidRPr="00EB0727">
              <w:rPr>
                <w:rFonts w:cs="Arial"/>
                <w:color w:val="000000"/>
                <w:sz w:val="16"/>
                <w:szCs w:val="16"/>
              </w:rPr>
              <w:t xml:space="preserve"> να ενεργοποιείται µε το ένα χέρι, µε τρόπο προφανή, γρήγορο και αποδοτικό, 25G</w:t>
            </w:r>
          </w:p>
          <w:p w:rsidR="00FA1F89" w:rsidRPr="007C3C52" w:rsidRDefault="00FA1F89" w:rsidP="00BA25CE">
            <w:pPr>
              <w:pStyle w:val="2"/>
              <w:rPr>
                <w:rFonts w:asciiTheme="minorHAnsi" w:hAnsiTheme="minorHAnsi" w:cstheme="minorHAnsi"/>
                <w:sz w:val="18"/>
                <w:szCs w:val="18"/>
                <w:lang w:val="el-GR"/>
              </w:rPr>
            </w:pPr>
          </w:p>
        </w:tc>
        <w:tc>
          <w:tcPr>
            <w:tcW w:w="1555" w:type="dxa"/>
          </w:tcPr>
          <w:p w:rsidR="00FA1F89" w:rsidRPr="009143A8" w:rsidRDefault="00FA1F89" w:rsidP="00F41318">
            <w:pPr>
              <w:pStyle w:val="normalwithoutspacing"/>
              <w:spacing w:before="57" w:after="57"/>
              <w:rPr>
                <w:rFonts w:asciiTheme="minorHAnsi" w:hAnsiTheme="minorHAnsi" w:cstheme="minorHAnsi"/>
                <w:b/>
                <w:sz w:val="18"/>
                <w:szCs w:val="18"/>
                <w:lang w:val="en-US"/>
              </w:rPr>
            </w:pPr>
            <w:r>
              <w:rPr>
                <w:rFonts w:asciiTheme="minorHAnsi" w:hAnsiTheme="minorHAnsi" w:cstheme="minorHAnsi"/>
                <w:b/>
                <w:sz w:val="18"/>
                <w:szCs w:val="18"/>
                <w:lang w:val="en-US"/>
              </w:rPr>
              <w:t xml:space="preserve">NAI                                                                                                                                        </w:t>
            </w:r>
          </w:p>
        </w:tc>
        <w:tc>
          <w:tcPr>
            <w:tcW w:w="1696" w:type="dxa"/>
          </w:tcPr>
          <w:p w:rsidR="00FA1F89" w:rsidRPr="00CA5642" w:rsidRDefault="00FA1F89" w:rsidP="00F41318">
            <w:pPr>
              <w:pStyle w:val="normalwithoutspacing"/>
              <w:spacing w:before="57" w:after="57"/>
              <w:rPr>
                <w:rFonts w:asciiTheme="minorHAnsi" w:hAnsiTheme="minorHAnsi" w:cstheme="minorHAnsi"/>
                <w:i/>
                <w:color w:val="FF0000"/>
                <w:sz w:val="18"/>
                <w:szCs w:val="18"/>
              </w:rPr>
            </w:pPr>
          </w:p>
        </w:tc>
        <w:tc>
          <w:tcPr>
            <w:tcW w:w="1665" w:type="dxa"/>
          </w:tcPr>
          <w:p w:rsidR="00FA1F89" w:rsidRPr="00CA5642" w:rsidRDefault="00FA1F89" w:rsidP="00F41318">
            <w:pPr>
              <w:pStyle w:val="normalwithoutspacing"/>
              <w:spacing w:before="57" w:after="57"/>
              <w:rPr>
                <w:rFonts w:asciiTheme="minorHAnsi" w:hAnsiTheme="minorHAnsi" w:cstheme="minorHAnsi"/>
                <w:i/>
                <w:color w:val="FF0000"/>
                <w:sz w:val="18"/>
                <w:szCs w:val="18"/>
              </w:rPr>
            </w:pPr>
          </w:p>
        </w:tc>
      </w:tr>
    </w:tbl>
    <w:p w:rsidR="00FA1F89" w:rsidRDefault="00FA1F89"/>
    <w:sectPr w:rsidR="00FA1F89" w:rsidSect="008A361F">
      <w:pgSz w:w="11906" w:h="16838"/>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1"/>
    <w:family w:val="swiss"/>
    <w:pitch w:val="variable"/>
    <w:sig w:usb0="E00002FF" w:usb1="4000ACFF" w:usb2="00000001" w:usb3="00000000" w:csb0="0000019F" w:csb1="00000000"/>
  </w:font>
  <w:font w:name="Times New Roman">
    <w:panose1 w:val="02020603050405020304"/>
    <w:charset w:val="A1"/>
    <w:family w:val="roman"/>
    <w:pitch w:val="variable"/>
    <w:sig w:usb0="20002A87" w:usb1="00000000" w:usb2="00000000" w:usb3="00000000" w:csb0="000001FF" w:csb1="00000000"/>
  </w:font>
  <w:font w:name="Courier New">
    <w:panose1 w:val="02070309020205020404"/>
    <w:charset w:val="A1"/>
    <w:family w:val="modern"/>
    <w:pitch w:val="fixed"/>
    <w:sig w:usb0="E0002AFF" w:usb1="C0007843" w:usb2="00000009" w:usb3="00000000" w:csb0="000001FF" w:csb1="00000000"/>
  </w:font>
  <w:font w:name="Arial">
    <w:panose1 w:val="020B0604020202020204"/>
    <w:charset w:val="A1"/>
    <w:family w:val="swiss"/>
    <w:pitch w:val="variable"/>
    <w:sig w:usb0="20002A87" w:usb1="00000000" w:usb2="00000000" w:usb3="00000000" w:csb0="000001FF" w:csb1="00000000"/>
  </w:font>
  <w:font w:name="Cambria">
    <w:panose1 w:val="02040503050406030204"/>
    <w:charset w:val="A1"/>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doNotDisplayPageBoundaries/>
  <w:proofState w:spelling="clean" w:grammar="clean"/>
  <w:defaultTabStop w:val="720"/>
  <w:characterSpacingControl w:val="doNotCompress"/>
  <w:savePreviewPicture/>
  <w:compat/>
  <w:rsids>
    <w:rsidRoot w:val="00FA1F89"/>
    <w:rsid w:val="00690F5D"/>
    <w:rsid w:val="008A361F"/>
    <w:rsid w:val="00B36CAE"/>
    <w:rsid w:val="00BA25CE"/>
    <w:rsid w:val="00EB0727"/>
    <w:rsid w:val="00FA1F89"/>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A1F89"/>
    <w:pPr>
      <w:suppressAutoHyphens/>
      <w:spacing w:after="0" w:line="240" w:lineRule="auto"/>
    </w:pPr>
    <w:rPr>
      <w:rFonts w:ascii="Calibri" w:eastAsia="Times New Roman" w:hAnsi="Calibri" w:cs="Times New Roman"/>
      <w:color w:val="00000A"/>
      <w:sz w:val="18"/>
      <w:szCs w:val="20"/>
      <w:lang w:eastAsia="el-GR"/>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normalwithoutspacing">
    <w:name w:val="normal_without_spacing"/>
    <w:basedOn w:val="a"/>
    <w:qFormat/>
    <w:rsid w:val="00FA1F89"/>
    <w:pPr>
      <w:spacing w:after="60" w:line="100" w:lineRule="atLeast"/>
    </w:pPr>
    <w:rPr>
      <w:rFonts w:ascii="Times New Roman" w:hAnsi="Times New Roman"/>
      <w:sz w:val="24"/>
      <w:szCs w:val="24"/>
      <w:lang w:eastAsia="ar-SA"/>
    </w:rPr>
  </w:style>
  <w:style w:type="paragraph" w:styleId="2">
    <w:name w:val="Body Text 2"/>
    <w:basedOn w:val="a"/>
    <w:link w:val="2Char"/>
    <w:uiPriority w:val="99"/>
    <w:qFormat/>
    <w:rsid w:val="00FA1F89"/>
    <w:pPr>
      <w:widowControl w:val="0"/>
      <w:tabs>
        <w:tab w:val="left" w:pos="-720"/>
      </w:tabs>
      <w:spacing w:line="100" w:lineRule="atLeast"/>
    </w:pPr>
    <w:rPr>
      <w:rFonts w:ascii="Courier New" w:hAnsi="Courier New"/>
      <w:spacing w:val="-3"/>
      <w:sz w:val="24"/>
      <w:lang w:val="en-US"/>
    </w:rPr>
  </w:style>
  <w:style w:type="character" w:customStyle="1" w:styleId="2Char">
    <w:name w:val="Σώμα κείμενου 2 Char"/>
    <w:basedOn w:val="a0"/>
    <w:link w:val="2"/>
    <w:uiPriority w:val="99"/>
    <w:rsid w:val="00FA1F89"/>
    <w:rPr>
      <w:rFonts w:ascii="Courier New" w:eastAsia="Times New Roman" w:hAnsi="Courier New" w:cs="Times New Roman"/>
      <w:color w:val="00000A"/>
      <w:spacing w:val="-3"/>
      <w:sz w:val="24"/>
      <w:szCs w:val="20"/>
      <w:lang w:val="en-US" w:eastAsia="el-GR"/>
    </w:rPr>
  </w:style>
  <w:style w:type="table" w:styleId="a3">
    <w:name w:val="Table Grid"/>
    <w:basedOn w:val="a1"/>
    <w:uiPriority w:val="59"/>
    <w:rsid w:val="00FA1F89"/>
    <w:pPr>
      <w:spacing w:after="0" w:line="240" w:lineRule="auto"/>
    </w:pPr>
    <w:rPr>
      <w:rFonts w:ascii="Times New Roman" w:eastAsia="Times New Roman" w:hAnsi="Times New Roman" w:cs="Times New Roman"/>
      <w:sz w:val="20"/>
      <w:szCs w:val="20"/>
      <w:lang w:eastAsia="el-G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Other">
    <w:name w:val="Other_"/>
    <w:basedOn w:val="a0"/>
    <w:link w:val="Other0"/>
    <w:rsid w:val="00FA1F89"/>
    <w:rPr>
      <w:rFonts w:ascii="Arial" w:eastAsia="Arial" w:hAnsi="Arial" w:cs="Arial"/>
      <w:color w:val="525753"/>
      <w:sz w:val="10"/>
      <w:szCs w:val="10"/>
    </w:rPr>
  </w:style>
  <w:style w:type="paragraph" w:customStyle="1" w:styleId="Other0">
    <w:name w:val="Other"/>
    <w:basedOn w:val="a"/>
    <w:link w:val="Other"/>
    <w:rsid w:val="00FA1F89"/>
    <w:pPr>
      <w:widowControl w:val="0"/>
      <w:suppressAutoHyphens w:val="0"/>
      <w:jc w:val="center"/>
    </w:pPr>
    <w:rPr>
      <w:rFonts w:ascii="Arial" w:eastAsia="Arial" w:hAnsi="Arial" w:cs="Arial"/>
      <w:color w:val="525753"/>
      <w:sz w:val="10"/>
      <w:szCs w:val="10"/>
      <w:lang w:eastAsia="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1219</Words>
  <Characters>6584</Characters>
  <Application>Microsoft Office Word</Application>
  <DocSecurity>0</DocSecurity>
  <Lines>54</Lines>
  <Paragraphs>15</Paragraphs>
  <ScaleCrop>false</ScaleCrop>
  <HeadingPairs>
    <vt:vector size="2" baseType="variant">
      <vt:variant>
        <vt:lpstr>Τίτλος</vt:lpstr>
      </vt:variant>
      <vt:variant>
        <vt:i4>1</vt:i4>
      </vt:variant>
    </vt:vector>
  </HeadingPairs>
  <TitlesOfParts>
    <vt:vector size="1" baseType="lpstr">
      <vt:lpstr/>
    </vt:vector>
  </TitlesOfParts>
  <Company>Hewlett-Packard Company</Company>
  <LinksUpToDate>false</LinksUpToDate>
  <CharactersWithSpaces>7788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s.parharidis</dc:creator>
  <cp:lastModifiedBy>d.rinos</cp:lastModifiedBy>
  <cp:revision>2</cp:revision>
  <dcterms:created xsi:type="dcterms:W3CDTF">2026-03-27T11:41:00Z</dcterms:created>
  <dcterms:modified xsi:type="dcterms:W3CDTF">2026-03-27T11:41:00Z</dcterms:modified>
</cp:coreProperties>
</file>