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8" w:rsidRDefault="00F22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459740</wp:posOffset>
            </wp:positionH>
            <wp:positionV relativeFrom="paragraph">
              <wp:posOffset>398145</wp:posOffset>
            </wp:positionV>
            <wp:extent cx="448310" cy="464185"/>
            <wp:effectExtent l="19050" t="0" r="889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3E4D4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60" w:right="64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ΕΛΛΗΝΙΚΗ ΔΗΜΟΚΡΑΤΙΑ ΔΙΟΙΚΗΣΗ 3</w:t>
      </w:r>
      <w:r>
        <w:rPr>
          <w:rFonts w:ascii="Verdana" w:hAnsi="Verdana" w:cs="Verdana"/>
          <w:sz w:val="27"/>
          <w:szCs w:val="27"/>
          <w:vertAlign w:val="superscript"/>
        </w:rPr>
        <w:t>ηs</w:t>
      </w:r>
      <w:r>
        <w:rPr>
          <w:rFonts w:ascii="Verdana" w:hAnsi="Verdana" w:cs="Verdana"/>
        </w:rPr>
        <w:t xml:space="preserve"> Υ.ΠΕ. ΜΑΚΕΔΟΝΙΑΣ Γ.Ν. «ΜΑΜΑΤΣΕΙΟ-ΜΠΟΔΟΣΑΚΕΙΟ»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080"/>
        <w:gridCol w:w="3920"/>
        <w:gridCol w:w="3540"/>
        <w:gridCol w:w="20"/>
      </w:tblGrid>
      <w:tr w:rsidR="00EE0EC8">
        <w:trPr>
          <w:trHeight w:val="267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ΦΟΡΕΑΣ Ν. ΚΟΖΑΝΗΣ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 w:rsidP="004A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 w:hanging="5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 xml:space="preserve">Κοζάνη </w:t>
            </w:r>
            <w:r w:rsidR="007271B5">
              <w:rPr>
                <w:rFonts w:ascii="Verdana" w:hAnsi="Verdana" w:cs="Verdana"/>
                <w:b/>
                <w:bCs/>
              </w:rPr>
              <w:t>1</w:t>
            </w:r>
            <w:r w:rsidR="00CE0C6D">
              <w:rPr>
                <w:rFonts w:ascii="Verdana" w:hAnsi="Verdana" w:cs="Verdana"/>
                <w:b/>
                <w:bCs/>
              </w:rPr>
              <w:t>2</w:t>
            </w:r>
            <w:r w:rsidR="007271B5">
              <w:rPr>
                <w:rFonts w:ascii="Verdana" w:hAnsi="Verdana" w:cs="Verdana"/>
                <w:b/>
                <w:bCs/>
              </w:rPr>
              <w:t>/06</w:t>
            </w:r>
            <w:r>
              <w:rPr>
                <w:rFonts w:ascii="Verdana" w:hAnsi="Verdana" w:cs="Verdana"/>
                <w:b/>
                <w:bCs/>
              </w:rPr>
              <w:t>/2018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0EC8">
        <w:trPr>
          <w:trHeight w:val="1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0EC8">
        <w:trPr>
          <w:trHeight w:val="2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4A178F" w:rsidP="004A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</w:t>
            </w:r>
            <w:r w:rsidR="003E4D4F">
              <w:rPr>
                <w:rFonts w:ascii="Verdana" w:hAnsi="Verdana" w:cs="Verdana"/>
                <w:b/>
                <w:bCs/>
              </w:rPr>
              <w:t xml:space="preserve">Αρ. </w:t>
            </w:r>
            <w:proofErr w:type="spellStart"/>
            <w:r w:rsidR="003E4D4F">
              <w:rPr>
                <w:rFonts w:ascii="Verdana" w:hAnsi="Verdana" w:cs="Verdana"/>
                <w:b/>
                <w:bCs/>
              </w:rPr>
              <w:t>Πρωτ</w:t>
            </w:r>
            <w:proofErr w:type="spellEnd"/>
            <w:r w:rsidR="003E4D4F">
              <w:rPr>
                <w:rFonts w:ascii="Verdana" w:hAnsi="Verdana" w:cs="Verdana"/>
                <w:b/>
                <w:bCs/>
              </w:rPr>
              <w:t xml:space="preserve">: </w:t>
            </w:r>
            <w:r w:rsidR="00363F12">
              <w:rPr>
                <w:rFonts w:ascii="Verdana" w:hAnsi="Verdana" w:cs="Verdana"/>
                <w:b/>
                <w:bCs/>
              </w:rPr>
              <w:t>6279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0EC8">
        <w:trPr>
          <w:trHeight w:val="5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Τμήμα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Οικονομικό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0EC8">
        <w:trPr>
          <w:trHeight w:val="26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Γραφείο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Προμηθειών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ΠΡΟΣ : ΕΣΗΔΗΣ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0EC8">
        <w:trPr>
          <w:trHeight w:val="2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Πληροφορίες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 xml:space="preserve">Κ. </w:t>
            </w:r>
            <w:proofErr w:type="spellStart"/>
            <w:r>
              <w:rPr>
                <w:rFonts w:ascii="Verdana" w:hAnsi="Verdana" w:cs="Verdana"/>
              </w:rPr>
              <w:t>Kωστάκη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(Διαβουλεύσεις)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0EC8">
        <w:trPr>
          <w:trHeight w:val="26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</w:rPr>
              <w:t>Ταχ</w:t>
            </w:r>
            <w:proofErr w:type="spellEnd"/>
            <w:r>
              <w:rPr>
                <w:rFonts w:ascii="Verdana" w:hAnsi="Verdana" w:cs="Verdana"/>
              </w:rPr>
              <w:t>. Δ/</w:t>
            </w:r>
            <w:proofErr w:type="spellStart"/>
            <w:r>
              <w:rPr>
                <w:rFonts w:ascii="Verdana" w:hAnsi="Verdana" w:cs="Verdana"/>
              </w:rPr>
              <w:t>νση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 xml:space="preserve">K. </w:t>
            </w:r>
            <w:proofErr w:type="spellStart"/>
            <w:r>
              <w:rPr>
                <w:rFonts w:ascii="Verdana" w:hAnsi="Verdana" w:cs="Verdana"/>
              </w:rPr>
              <w:t>Μαματσίου</w:t>
            </w:r>
            <w:proofErr w:type="spellEnd"/>
            <w:r>
              <w:rPr>
                <w:rFonts w:ascii="Verdana" w:hAnsi="Verdana" w:cs="Verdana"/>
              </w:rPr>
              <w:t xml:space="preserve"> 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0EC8">
        <w:trPr>
          <w:trHeight w:val="26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</w:rPr>
              <w:t>Ταχ</w:t>
            </w:r>
            <w:proofErr w:type="spellEnd"/>
            <w:r>
              <w:rPr>
                <w:rFonts w:ascii="Verdana" w:hAnsi="Verdana" w:cs="Verdana"/>
              </w:rPr>
              <w:t>. Κωδ.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50131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0EC8">
        <w:trPr>
          <w:trHeight w:val="2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Τηλέφωνο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2461352869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0EC8">
        <w:trPr>
          <w:trHeight w:val="26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</w:rPr>
              <w:t>Fax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2461352638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0EC8">
        <w:trPr>
          <w:trHeight w:val="2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e-</w:t>
            </w:r>
            <w:proofErr w:type="spellStart"/>
            <w:r>
              <w:rPr>
                <w:rFonts w:ascii="Verdana" w:hAnsi="Verdana" w:cs="Verdana"/>
              </w:rPr>
              <w:t>mail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3E4D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promithies@mamatsio.gr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C8" w:rsidRDefault="00EE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7271B5" w:rsidP="004A178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900" w:firstLine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7271B5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E4D4F">
        <w:rPr>
          <w:rFonts w:ascii="Arial" w:hAnsi="Arial" w:cs="Arial"/>
          <w:b/>
          <w:bCs/>
          <w:sz w:val="24"/>
          <w:szCs w:val="24"/>
        </w:rPr>
        <w:t>Δημόσια Διαβούλευση των Τεχνικών Προδιαγραφών για τη διενέργεια Συνοπτικού Διαγωνισμού για την προμήθεια «MHXANHMATA TEXNHTOY NEΦΡΟΥ» για τις ανάγκες του Νοσοκομείου Κοζάνης «ΜΑΜΑΤΣΕΙΟ»</w:t>
      </w:r>
    </w:p>
    <w:p w:rsidR="00EE0EC8" w:rsidRDefault="00EE0EC8" w:rsidP="004A178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0EC8" w:rsidRDefault="00EE0EC8" w:rsidP="004A178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71B5" w:rsidRDefault="007271B5" w:rsidP="004A178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4"/>
          <w:szCs w:val="24"/>
        </w:rPr>
      </w:pPr>
    </w:p>
    <w:p w:rsidR="007271B5" w:rsidRDefault="007271B5" w:rsidP="004A178F">
      <w:pPr>
        <w:widowControl w:val="0"/>
        <w:overflowPunct w:val="0"/>
        <w:autoSpaceDE w:val="0"/>
        <w:autoSpaceDN w:val="0"/>
        <w:adjustRightInd w:val="0"/>
        <w:spacing w:line="225" w:lineRule="auto"/>
        <w:ind w:left="620" w:right="180"/>
        <w:jc w:val="both"/>
        <w:rPr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Oι</w:t>
      </w:r>
      <w:proofErr w:type="spellEnd"/>
      <w:r>
        <w:rPr>
          <w:rFonts w:ascii="Arial" w:hAnsi="Arial" w:cs="Arial"/>
          <w:sz w:val="24"/>
          <w:szCs w:val="24"/>
        </w:rPr>
        <w:t xml:space="preserve"> Τεχνικές Προδιαγραφές είναι αναρτημένες και μπορείτε να τις αναζητήσετε στην ιστοσελίδα του Γ.Ν. «ΜΑΜΑΤΣΕΙΟ»-«ΜΠΟΔΟΣΑΚΕΙΟ» </w:t>
      </w:r>
      <w:proofErr w:type="spellStart"/>
      <w:r>
        <w:rPr>
          <w:rFonts w:ascii="Arial" w:hAnsi="Arial" w:cs="Arial"/>
          <w:sz w:val="24"/>
          <w:szCs w:val="24"/>
        </w:rPr>
        <w:t>http</w:t>
      </w:r>
      <w:proofErr w:type="spellEnd"/>
      <w:r>
        <w:rPr>
          <w:rFonts w:ascii="Arial" w:hAnsi="Arial" w:cs="Arial"/>
          <w:sz w:val="24"/>
          <w:szCs w:val="24"/>
        </w:rPr>
        <w:t>//</w:t>
      </w:r>
      <w:proofErr w:type="spellStart"/>
      <w:r>
        <w:rPr>
          <w:rFonts w:ascii="Arial" w:hAnsi="Arial" w:cs="Arial"/>
          <w:sz w:val="24"/>
          <w:szCs w:val="24"/>
        </w:rPr>
        <w:t>www.mamatsio.gr</w:t>
      </w:r>
      <w:proofErr w:type="spellEnd"/>
      <w:r>
        <w:rPr>
          <w:rFonts w:ascii="Arial" w:hAnsi="Arial" w:cs="Arial"/>
          <w:sz w:val="24"/>
          <w:szCs w:val="24"/>
        </w:rPr>
        <w:t xml:space="preserve"> (στην διαδρομή «Προμήθειες – Διαβουλεύσεις»).</w:t>
      </w:r>
    </w:p>
    <w:p w:rsidR="007271B5" w:rsidRDefault="007271B5" w:rsidP="004A178F">
      <w:pPr>
        <w:widowControl w:val="0"/>
        <w:autoSpaceDE w:val="0"/>
        <w:autoSpaceDN w:val="0"/>
        <w:adjustRightInd w:val="0"/>
        <w:spacing w:line="268" w:lineRule="exact"/>
        <w:jc w:val="both"/>
        <w:rPr>
          <w:sz w:val="24"/>
          <w:szCs w:val="24"/>
        </w:rPr>
      </w:pPr>
    </w:p>
    <w:p w:rsidR="007271B5" w:rsidRDefault="007271B5" w:rsidP="004A178F">
      <w:pPr>
        <w:widowControl w:val="0"/>
        <w:autoSpaceDE w:val="0"/>
        <w:autoSpaceDN w:val="0"/>
        <w:adjustRightInd w:val="0"/>
        <w:ind w:left="62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Περίοδος </w:t>
      </w:r>
      <w:r w:rsidRPr="008F6DD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32"/>
          <w:szCs w:val="32"/>
          <w:vertAlign w:val="superscript"/>
        </w:rPr>
        <w:t>ης</w:t>
      </w:r>
      <w:r>
        <w:rPr>
          <w:rFonts w:ascii="Arial" w:hAnsi="Arial" w:cs="Arial"/>
          <w:sz w:val="24"/>
          <w:szCs w:val="24"/>
        </w:rPr>
        <w:t xml:space="preserve"> δημόσιας διαβούλευσης: από 1</w:t>
      </w:r>
      <w:r w:rsidR="00CE0C6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-0</w:t>
      </w:r>
      <w:r w:rsidRPr="008F6DD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-2018 μέχρι και </w:t>
      </w:r>
      <w:r w:rsidRPr="003751F5">
        <w:rPr>
          <w:rFonts w:ascii="Arial" w:hAnsi="Arial" w:cs="Arial"/>
          <w:sz w:val="24"/>
          <w:szCs w:val="24"/>
        </w:rPr>
        <w:t>2</w:t>
      </w:r>
      <w:r w:rsidR="00CE0C6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-0</w:t>
      </w:r>
      <w:r w:rsidRPr="003751F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-2018</w:t>
      </w:r>
    </w:p>
    <w:p w:rsidR="007271B5" w:rsidRDefault="007271B5" w:rsidP="004A178F">
      <w:pPr>
        <w:widowControl w:val="0"/>
        <w:autoSpaceDE w:val="0"/>
        <w:autoSpaceDN w:val="0"/>
        <w:adjustRightInd w:val="0"/>
        <w:spacing w:line="245" w:lineRule="exact"/>
        <w:jc w:val="both"/>
        <w:rPr>
          <w:sz w:val="24"/>
          <w:szCs w:val="24"/>
        </w:rPr>
      </w:pPr>
    </w:p>
    <w:p w:rsidR="007271B5" w:rsidRDefault="007271B5" w:rsidP="004A178F">
      <w:pPr>
        <w:widowControl w:val="0"/>
        <w:overflowPunct w:val="0"/>
        <w:autoSpaceDE w:val="0"/>
        <w:autoSpaceDN w:val="0"/>
        <w:adjustRightInd w:val="0"/>
        <w:spacing w:line="225" w:lineRule="auto"/>
        <w:ind w:left="620" w:right="18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παρατηρήσεις σας θα γίνονται δεκτές ηλεκτρονικά στο e-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 xml:space="preserve"> του Γραφείου Προμηθειών του Νοσοκομείου: promithies@mamatsio.gr &amp; </w:t>
      </w:r>
      <w:hyperlink r:id="rId6" w:history="1">
        <w:r w:rsidRPr="00154B2B">
          <w:rPr>
            <w:rFonts w:ascii="Arial" w:hAnsi="Arial" w:cs="Arial"/>
            <w:sz w:val="24"/>
            <w:szCs w:val="24"/>
          </w:rPr>
          <w:t>diavoulefsi@eprocurement.gov.gr</w:t>
        </w:r>
      </w:hyperlink>
      <w:r>
        <w:rPr>
          <w:rFonts w:ascii="Arial" w:hAnsi="Arial" w:cs="Arial"/>
          <w:sz w:val="24"/>
          <w:szCs w:val="24"/>
        </w:rPr>
        <w:t xml:space="preserve">  (ΕΔΗΔΗΣ – Διαβουλεύσεις) και μέχρι </w:t>
      </w:r>
      <w:r w:rsidRPr="003751F5">
        <w:rPr>
          <w:rFonts w:ascii="Arial" w:hAnsi="Arial" w:cs="Arial"/>
          <w:sz w:val="24"/>
          <w:szCs w:val="24"/>
        </w:rPr>
        <w:t>2</w:t>
      </w:r>
      <w:r w:rsidR="00CE0C6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-0</w:t>
      </w:r>
      <w:r w:rsidRPr="003751F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-2018 και ώρα 14:30 </w:t>
      </w:r>
      <w:proofErr w:type="spellStart"/>
      <w:r>
        <w:rPr>
          <w:rFonts w:ascii="Arial" w:hAnsi="Arial" w:cs="Arial"/>
          <w:sz w:val="24"/>
          <w:szCs w:val="24"/>
        </w:rPr>
        <w:t>μ.μ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71B5" w:rsidRDefault="007271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71B5" w:rsidRDefault="007271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71B5" w:rsidRDefault="007271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71B5" w:rsidRDefault="007271B5" w:rsidP="007271B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180"/>
        <w:rPr>
          <w:rFonts w:ascii="Times New Roman" w:hAnsi="Times New Roman" w:cs="Times New Roman"/>
          <w:sz w:val="24"/>
          <w:szCs w:val="24"/>
        </w:rPr>
      </w:pPr>
    </w:p>
    <w:p w:rsidR="007271B5" w:rsidRDefault="007271B5" w:rsidP="007271B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180"/>
        <w:rPr>
          <w:rFonts w:ascii="Times New Roman" w:hAnsi="Times New Roman" w:cs="Times New Roman"/>
          <w:sz w:val="24"/>
          <w:szCs w:val="24"/>
        </w:rPr>
      </w:pPr>
    </w:p>
    <w:p w:rsidR="007271B5" w:rsidRDefault="007271B5" w:rsidP="007271B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180"/>
        <w:jc w:val="center"/>
        <w:rPr>
          <w:rFonts w:ascii="Arial" w:hAnsi="Arial" w:cs="Arial"/>
          <w:b/>
          <w:bCs/>
          <w:sz w:val="23"/>
          <w:szCs w:val="23"/>
        </w:rPr>
      </w:pPr>
    </w:p>
    <w:p w:rsidR="007271B5" w:rsidRDefault="003E4D4F" w:rsidP="007271B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7" w:right="-39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TΕΧΝΙΚΕΣ ΠΡΟΔΙΑΓΡΑΦΕΣ ΜΗΧΑΝΗΜΑΤΩΝ ΤΕΧΝΗΤΟΥ ΝΕΦΡΟΥ</w:t>
      </w:r>
    </w:p>
    <w:p w:rsidR="00EE0EC8" w:rsidRDefault="003E4D4F" w:rsidP="007271B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7" w:right="-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ΑΙΜΟΔΙΗΘΗΣΗΣ ΑΙΜΟΔΙΑΔΙΗΘΗΣΗΣ ΚΑΙ ON - LINE ΜΕΘΟΔΩΝ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210AD8" w:rsidRDefault="00210AD8" w:rsidP="00210AD8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Το μηχάνημα να είναι πλήρες, καινούργιο, αμεταχείριστο και σύγχρονης τεχνολογίας. Τα χαρακτηριστικά που θα αναφερθούν να τεκμηριώνονται, απαραίτητα, με αντίστοιχα </w:t>
      </w:r>
      <w:proofErr w:type="spellStart"/>
      <w:r>
        <w:rPr>
          <w:rFonts w:ascii="Arial" w:hAnsi="Arial" w:cs="Arial"/>
          <w:sz w:val="24"/>
          <w:szCs w:val="24"/>
        </w:rPr>
        <w:t>prospectus</w:t>
      </w:r>
      <w:proofErr w:type="spellEnd"/>
      <w:r>
        <w:rPr>
          <w:rFonts w:ascii="Arial" w:hAnsi="Arial" w:cs="Arial"/>
          <w:sz w:val="24"/>
          <w:szCs w:val="24"/>
        </w:rPr>
        <w:t xml:space="preserve"> του κατασκευαστή, εγκρίσεις και άλλα στοιχεία προς αξιολόγηση. Να φέρει σήμανση CE, όπως προβλέπεται από την εκάστοτε ισχύουσα Ελληνική Νομοθεσία.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1"/>
        </w:numPr>
        <w:tabs>
          <w:tab w:val="clear" w:pos="720"/>
          <w:tab w:val="num" w:pos="395"/>
        </w:tabs>
        <w:overflowPunct w:val="0"/>
        <w:autoSpaceDE w:val="0"/>
        <w:autoSpaceDN w:val="0"/>
        <w:adjustRightInd w:val="0"/>
        <w:spacing w:after="0" w:line="217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λειτουργεί με ρεύμα τάσης 220V/50Hz, με αυτονομία λειτουργίας τουλάχιστον δέκα (10) λεπτών, σε περίπτωση διακοπής ρεύματος.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329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17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λειτουργία του να βασίζεται σε μικροϋπολογιστές (</w:t>
      </w:r>
      <w:proofErr w:type="spellStart"/>
      <w:r>
        <w:rPr>
          <w:rFonts w:ascii="Arial" w:hAnsi="Arial" w:cs="Arial"/>
          <w:sz w:val="24"/>
          <w:szCs w:val="24"/>
        </w:rPr>
        <w:t>microprocessors</w:t>
      </w:r>
      <w:proofErr w:type="spellEnd"/>
      <w:r>
        <w:rPr>
          <w:rFonts w:ascii="Arial" w:hAnsi="Arial" w:cs="Arial"/>
          <w:sz w:val="24"/>
          <w:szCs w:val="24"/>
        </w:rPr>
        <w:t xml:space="preserve">) και να αυτοελέγχεται πριν την έναρξη της διαδικασίας αιμοκάθαρσης.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25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φέρεται σε τροχήλατη βάση, με δυνατότητα ακινητοποίησης των τροχών, να είναι εύκολο στην μεταφορά του και να φέρει αναρτήρες φιαλών, συσκευών ορών, φίλτρων και γραμμών.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Να χρησιμοποιεί φίλτρα αιμοκάθαρσης όλων των εργοστασίων. </w:t>
      </w:r>
    </w:p>
    <w:p w:rsidR="00210AD8" w:rsidRDefault="00210AD8" w:rsidP="00210A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Το μηχάνημα θα πρέπει να δέχεται </w:t>
      </w:r>
      <w:proofErr w:type="spellStart"/>
      <w:r>
        <w:rPr>
          <w:rFonts w:ascii="Arial" w:hAnsi="Arial" w:cs="Arial"/>
          <w:sz w:val="24"/>
          <w:szCs w:val="24"/>
        </w:rPr>
        <w:t>αρτηριοφλεβικές</w:t>
      </w:r>
      <w:proofErr w:type="spellEnd"/>
      <w:r>
        <w:rPr>
          <w:rFonts w:ascii="Arial" w:hAnsi="Arial" w:cs="Arial"/>
          <w:sz w:val="24"/>
          <w:szCs w:val="24"/>
        </w:rPr>
        <w:t xml:space="preserve"> γραμμές που δεν καλύπτονται από εργοστασιακό απόρρητο κατασκευής.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7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φέρει όλους τους απαραίτητους αυτοματισμούς και συστήματα ασφαλείας για την προστασία του ασθενούς είτε από βλάβη, είτε από εσφαλμένο χειρισμό.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329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1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25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έχει αυτοδιαγνωστικό πρόγραμμα βλαβών ή λαθών για την ταχεία επισκευή από τους τεχνικούς. Οι ενδείξεις των παραμέτρων λειτουργίας να είναι στην Ελληνική γλώσσα και να απεικονίζονται ψηφιακά ή αναλογικά ή σε οθόνη.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1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 w:line="217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έχει ενσωματωμένο σύστημα εφαρμογής αιμοκάθαρσης με Μονή Βελόνα με μία ή με δύο αντλίες.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έχει αντλία χορήγησης ηπαρίνης.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17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έχει σύστημα μέτρησης και ελέγχου των ορίων αρτηριακής και φλεβικής πίεσης του αίματος και της πίεσης του αίματος με τις αντίστοιχες ενδείξεις.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έχει ένδειξη της </w:t>
      </w:r>
      <w:proofErr w:type="spellStart"/>
      <w:r>
        <w:rPr>
          <w:rFonts w:ascii="Arial" w:hAnsi="Arial" w:cs="Arial"/>
          <w:sz w:val="24"/>
          <w:szCs w:val="24"/>
        </w:rPr>
        <w:t>διαμεμβρανικής</w:t>
      </w:r>
      <w:proofErr w:type="spellEnd"/>
      <w:r>
        <w:rPr>
          <w:rFonts w:ascii="Arial" w:hAnsi="Arial" w:cs="Arial"/>
          <w:sz w:val="24"/>
          <w:szCs w:val="24"/>
        </w:rPr>
        <w:t xml:space="preserve"> πίεσης (ΤΜP).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1"/>
        </w:numPr>
        <w:tabs>
          <w:tab w:val="clear" w:pos="720"/>
          <w:tab w:val="num" w:pos="417"/>
        </w:tabs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έχει αυτόματη περιστροφική αντλία αίματος, με δυνατότητα ρύθμισης της παροχής κατά την διάρκεια της συνεδρίας. Η μέγιστη δυνατή παροχή αίματος θα πρέπει να είναι τουλάχιστον 500 ml/</w:t>
      </w:r>
      <w:proofErr w:type="spellStart"/>
      <w:r>
        <w:rPr>
          <w:rFonts w:ascii="Arial" w:hAnsi="Arial" w:cs="Arial"/>
          <w:sz w:val="24"/>
          <w:szCs w:val="24"/>
        </w:rPr>
        <w:t>min</w:t>
      </w:r>
      <w:proofErr w:type="spellEnd"/>
      <w:r>
        <w:rPr>
          <w:rFonts w:ascii="Arial" w:hAnsi="Arial" w:cs="Arial"/>
          <w:sz w:val="24"/>
          <w:szCs w:val="24"/>
        </w:rPr>
        <w:t xml:space="preserve">. Η αντλία θα πρέπει να μπορεί να λειτουργεί και χειροκίνητα, σε περίπτωση διακοπής ρεύματος.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έχει ένδειξη της παροχής του αίματος. </w:t>
      </w:r>
    </w:p>
    <w:p w:rsidR="00210AD8" w:rsidRDefault="00210AD8" w:rsidP="00210A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Arial" w:hAnsi="Arial" w:cs="Arial"/>
          <w:sz w:val="24"/>
          <w:szCs w:val="24"/>
        </w:rPr>
      </w:pPr>
      <w:bookmarkStart w:id="0" w:name="page2"/>
      <w:bookmarkEnd w:id="0"/>
      <w:r w:rsidRPr="00210AD8">
        <w:rPr>
          <w:rFonts w:ascii="Arial" w:hAnsi="Arial" w:cs="Arial"/>
          <w:sz w:val="24"/>
          <w:szCs w:val="24"/>
        </w:rPr>
        <w:t xml:space="preserve">Να έχει σύστημα αυτόματης ελεγχόμενης </w:t>
      </w:r>
      <w:proofErr w:type="spellStart"/>
      <w:r w:rsidRPr="00210AD8">
        <w:rPr>
          <w:rFonts w:ascii="Arial" w:hAnsi="Arial" w:cs="Arial"/>
          <w:sz w:val="24"/>
          <w:szCs w:val="24"/>
        </w:rPr>
        <w:t>υπερδιήθησης</w:t>
      </w:r>
      <w:proofErr w:type="spellEnd"/>
      <w:r w:rsidRPr="00210AD8">
        <w:rPr>
          <w:rFonts w:ascii="Arial" w:hAnsi="Arial" w:cs="Arial"/>
          <w:sz w:val="24"/>
          <w:szCs w:val="24"/>
        </w:rPr>
        <w:t xml:space="preserve">. </w:t>
      </w:r>
    </w:p>
    <w:p w:rsidR="00210AD8" w:rsidRDefault="00210AD8" w:rsidP="00210A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sz w:val="24"/>
          <w:szCs w:val="24"/>
        </w:rPr>
      </w:pPr>
    </w:p>
    <w:p w:rsidR="00210AD8" w:rsidRPr="00210AD8" w:rsidRDefault="00210AD8" w:rsidP="00210AD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10AD8">
        <w:rPr>
          <w:rFonts w:ascii="Arial" w:hAnsi="Arial" w:cs="Arial"/>
          <w:sz w:val="24"/>
          <w:szCs w:val="24"/>
        </w:rPr>
        <w:lastRenderedPageBreak/>
        <w:t xml:space="preserve">Να έχει πρόγραμμα </w:t>
      </w:r>
      <w:proofErr w:type="spellStart"/>
      <w:r w:rsidRPr="00210AD8">
        <w:rPr>
          <w:rFonts w:ascii="Arial" w:hAnsi="Arial" w:cs="Arial"/>
          <w:sz w:val="24"/>
          <w:szCs w:val="24"/>
        </w:rPr>
        <w:t>υπερδιήθησης</w:t>
      </w:r>
      <w:proofErr w:type="spellEnd"/>
      <w:r w:rsidRPr="00210AD8">
        <w:rPr>
          <w:rFonts w:ascii="Arial" w:hAnsi="Arial" w:cs="Arial"/>
          <w:sz w:val="24"/>
          <w:szCs w:val="24"/>
        </w:rPr>
        <w:t xml:space="preserve"> χωρίς δίοδο διαλύματος αιμοκάθαρσης (ξηρά κάθαρση).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17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διαθέτει σύστημα ανίχνευσης διαφυγής αίματος (</w:t>
      </w:r>
      <w:proofErr w:type="spellStart"/>
      <w:r>
        <w:rPr>
          <w:rFonts w:ascii="Arial" w:hAnsi="Arial" w:cs="Arial"/>
          <w:sz w:val="24"/>
          <w:szCs w:val="24"/>
        </w:rPr>
        <w:t>blood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detector</w:t>
      </w:r>
      <w:proofErr w:type="spellEnd"/>
      <w:r>
        <w:rPr>
          <w:rFonts w:ascii="Arial" w:hAnsi="Arial" w:cs="Arial"/>
          <w:sz w:val="24"/>
          <w:szCs w:val="24"/>
        </w:rPr>
        <w:t xml:space="preserve">) και σύστημα αυτόματης </w:t>
      </w:r>
      <w:proofErr w:type="spellStart"/>
      <w:r>
        <w:rPr>
          <w:rFonts w:ascii="Arial" w:hAnsi="Arial" w:cs="Arial"/>
          <w:sz w:val="24"/>
          <w:szCs w:val="24"/>
        </w:rPr>
        <w:t>αεροπαγίδας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2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17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Ως προς την παρασκευή του διαλύματος αιμοκάθαρσης, να είναι αυτόματο και αυτόνομο.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είναι τύπου </w:t>
      </w:r>
      <w:proofErr w:type="spellStart"/>
      <w:r>
        <w:rPr>
          <w:rFonts w:ascii="Arial" w:hAnsi="Arial" w:cs="Arial"/>
          <w:sz w:val="24"/>
          <w:szCs w:val="24"/>
        </w:rPr>
        <w:t>single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pass</w:t>
      </w:r>
      <w:proofErr w:type="spellEnd"/>
      <w:r>
        <w:rPr>
          <w:rFonts w:ascii="Arial" w:hAnsi="Arial" w:cs="Arial"/>
          <w:sz w:val="24"/>
          <w:szCs w:val="24"/>
        </w:rPr>
        <w:t xml:space="preserve"> (μονής διέλευσης του διαλύματος αιμοκάθαρσης από το φίλτρο αιμοκάθαρσης).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2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17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έχει δυνατότητα ρύθμισης της παροχής του τελικού διαλύματος με μέγιστο όριο τουλάχιστον 600 ml/</w:t>
      </w:r>
      <w:proofErr w:type="spellStart"/>
      <w:r>
        <w:rPr>
          <w:rFonts w:ascii="Arial" w:hAnsi="Arial" w:cs="Arial"/>
          <w:sz w:val="24"/>
          <w:szCs w:val="24"/>
        </w:rPr>
        <w:t>min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2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17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έχει τη δυνατότητα ρύθμισης της θερμοκρασίας του διαλύματος αιμοκάθαρσης κατά την διάρκεια της συνεδρίας.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εκτελεί αυτόματη θερμική και χημική αποστείρωση και πλύσιμο με νερό.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2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Να παρασκευάζει διάλυμα </w:t>
      </w:r>
      <w:proofErr w:type="spellStart"/>
      <w:r>
        <w:rPr>
          <w:rFonts w:ascii="Arial" w:hAnsi="Arial" w:cs="Arial"/>
          <w:sz w:val="24"/>
          <w:szCs w:val="24"/>
        </w:rPr>
        <w:t>διττανθρακικών</w:t>
      </w:r>
      <w:proofErr w:type="spellEnd"/>
      <w:r>
        <w:rPr>
          <w:rFonts w:ascii="Arial" w:hAnsi="Arial" w:cs="Arial"/>
          <w:sz w:val="24"/>
          <w:szCs w:val="24"/>
        </w:rPr>
        <w:t xml:space="preserve"> και από πυκνό διάλυμα και από άνυδρο </w:t>
      </w:r>
      <w:proofErr w:type="spellStart"/>
      <w:r>
        <w:rPr>
          <w:rFonts w:ascii="Arial" w:hAnsi="Arial" w:cs="Arial"/>
          <w:sz w:val="24"/>
          <w:szCs w:val="24"/>
        </w:rPr>
        <w:t>διττανθρακικό</w:t>
      </w:r>
      <w:proofErr w:type="spellEnd"/>
      <w:r>
        <w:rPr>
          <w:rFonts w:ascii="Arial" w:hAnsi="Arial" w:cs="Arial"/>
          <w:sz w:val="24"/>
          <w:szCs w:val="24"/>
        </w:rPr>
        <w:t xml:space="preserve"> νάτριο σε στερεά μορφή (σκόνη), με δυνατότητα μεταβολής/ρύθμισης της συγκέντρωσης </w:t>
      </w:r>
      <w:proofErr w:type="spellStart"/>
      <w:r>
        <w:rPr>
          <w:rFonts w:ascii="Arial" w:hAnsi="Arial" w:cs="Arial"/>
          <w:sz w:val="24"/>
          <w:szCs w:val="24"/>
        </w:rPr>
        <w:t>διττανθρακικών</w:t>
      </w:r>
      <w:proofErr w:type="spellEnd"/>
      <w:r>
        <w:rPr>
          <w:rFonts w:ascii="Arial" w:hAnsi="Arial" w:cs="Arial"/>
          <w:sz w:val="24"/>
          <w:szCs w:val="24"/>
        </w:rPr>
        <w:t xml:space="preserve"> και νατρίου, κατά την διάρκεια της συνεδρίας.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Να δέχεται φύσιγγα σκόνης </w:t>
      </w:r>
      <w:proofErr w:type="spellStart"/>
      <w:r>
        <w:rPr>
          <w:rFonts w:ascii="Arial" w:hAnsi="Arial" w:cs="Arial"/>
          <w:sz w:val="24"/>
          <w:szCs w:val="24"/>
        </w:rPr>
        <w:t>διττανθρακικών</w:t>
      </w:r>
      <w:proofErr w:type="spellEnd"/>
      <w:r>
        <w:rPr>
          <w:rFonts w:ascii="Arial" w:hAnsi="Arial" w:cs="Arial"/>
          <w:sz w:val="24"/>
          <w:szCs w:val="24"/>
        </w:rPr>
        <w:t xml:space="preserve"> που δεν καλύπτεται από εργοστασιακό απόρρητο κατασκευής. </w:t>
      </w:r>
    </w:p>
    <w:p w:rsidR="00210AD8" w:rsidRDefault="00210AD8" w:rsidP="00210AD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:rsidR="00210AD8" w:rsidRDefault="00210AD8" w:rsidP="00210AD8">
      <w:pPr>
        <w:widowControl w:val="0"/>
        <w:numPr>
          <w:ilvl w:val="0"/>
          <w:numId w:val="2"/>
        </w:numPr>
        <w:tabs>
          <w:tab w:val="clear" w:pos="720"/>
          <w:tab w:val="num" w:pos="491"/>
        </w:tabs>
        <w:overflowPunct w:val="0"/>
        <w:autoSpaceDE w:val="0"/>
        <w:autoSpaceDN w:val="0"/>
        <w:adjustRightInd w:val="0"/>
        <w:spacing w:after="0" w:line="21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διενεργεί τη μέθοδο της </w:t>
      </w:r>
      <w:proofErr w:type="spellStart"/>
      <w:r>
        <w:rPr>
          <w:rFonts w:ascii="Arial" w:hAnsi="Arial" w:cs="Arial"/>
          <w:sz w:val="24"/>
          <w:szCs w:val="24"/>
        </w:rPr>
        <w:t>Αιμοδιήθησης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Αιμοδιαδιήθησης</w:t>
      </w:r>
      <w:proofErr w:type="spellEnd"/>
      <w:r>
        <w:rPr>
          <w:rFonts w:ascii="Arial" w:hAnsi="Arial" w:cs="Arial"/>
          <w:sz w:val="24"/>
          <w:szCs w:val="24"/>
        </w:rPr>
        <w:t xml:space="preserve"> με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line</w:t>
      </w:r>
      <w:proofErr w:type="spellEnd"/>
      <w:r>
        <w:rPr>
          <w:rFonts w:ascii="Arial" w:hAnsi="Arial" w:cs="Arial"/>
          <w:sz w:val="24"/>
          <w:szCs w:val="24"/>
        </w:rPr>
        <w:t xml:space="preserve"> παρασκευή διαλυμάτων (υποκατάστασης). Τα αναλώσιμα υλικά για την διεξαγωγή των ως άνω μεθόδων δε θα πρέπει να καλύπτονται από εργοστασιακό απόρρητο κατασκευής.</w:t>
      </w:r>
    </w:p>
    <w:p w:rsidR="00210AD8" w:rsidRDefault="00210AD8" w:rsidP="00210AD8">
      <w:pPr>
        <w:rPr>
          <w:rFonts w:ascii="Arial" w:hAnsi="Arial" w:cs="Arial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3E4D4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ΑΝ. ΔΙΟΙΚΗΤΗΣ</w:t>
      </w: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0EC8" w:rsidRDefault="00EE0EC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3E4D4F" w:rsidRDefault="003E4D4F">
      <w:pPr>
        <w:widowControl w:val="0"/>
        <w:autoSpaceDE w:val="0"/>
        <w:autoSpaceDN w:val="0"/>
        <w:adjustRightInd w:val="0"/>
        <w:spacing w:after="0" w:line="240" w:lineRule="auto"/>
        <w:ind w:left="5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ΣΠΥΡΙΔΩΝΑΣ ΤΟΛΙΟΣ</w:t>
      </w:r>
    </w:p>
    <w:sectPr w:rsidR="003E4D4F" w:rsidSect="004A178F">
      <w:pgSz w:w="11900" w:h="16836"/>
      <w:pgMar w:top="1111" w:right="1268" w:bottom="1440" w:left="1200" w:header="720" w:footer="720" w:gutter="0"/>
      <w:cols w:space="720" w:equalWidth="0">
        <w:col w:w="943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22C0B"/>
    <w:rsid w:val="00210AD8"/>
    <w:rsid w:val="00363F12"/>
    <w:rsid w:val="003E4D4F"/>
    <w:rsid w:val="004A178F"/>
    <w:rsid w:val="007271B5"/>
    <w:rsid w:val="00CE0C6D"/>
    <w:rsid w:val="00EE0EC8"/>
    <w:rsid w:val="00F2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voulefsi@eprocurement.gov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promithion3</cp:lastModifiedBy>
  <cp:revision>7</cp:revision>
  <dcterms:created xsi:type="dcterms:W3CDTF">2018-06-12T10:35:00Z</dcterms:created>
  <dcterms:modified xsi:type="dcterms:W3CDTF">2018-06-13T07:44:00Z</dcterms:modified>
</cp:coreProperties>
</file>